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托克逊县阿乐惠镇卫生院2024年单位预算公开</w:t>
      </w: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before="100" w:beforeAutospacing="1" w:after="100" w:afterAutospacing="1"/>
        <w:jc w:val="center"/>
        <w:outlineLvl w:val="1"/>
        <w:rPr>
          <w:rFonts w:ascii="宋体" w:hAnsi="宋体"/>
          <w:b/>
          <w:color w:val="auto"/>
          <w:kern w:val="0"/>
          <w:sz w:val="44"/>
          <w:szCs w:val="44"/>
          <w:highlight w:val="none"/>
        </w:rPr>
      </w:pPr>
    </w:p>
    <w:p>
      <w:pPr>
        <w:widowControl/>
        <w:spacing w:line="500" w:lineRule="exact"/>
        <w:jc w:val="center"/>
        <w:outlineLvl w:val="1"/>
        <w:rPr>
          <w:rFonts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目录</w:t>
      </w:r>
    </w:p>
    <w:p>
      <w:pPr>
        <w:widowControl/>
        <w:spacing w:line="600" w:lineRule="exact"/>
        <w:ind w:firstLine="883" w:firstLineChars="200"/>
        <w:outlineLvl w:val="1"/>
        <w:rPr>
          <w:rFonts w:ascii="宋体" w:hAnsi="宋体"/>
          <w:b/>
          <w:color w:val="auto"/>
          <w:kern w:val="0"/>
          <w:sz w:val="44"/>
          <w:szCs w:val="44"/>
          <w:highlight w:val="none"/>
        </w:rPr>
      </w:pP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第一部分2024年单位概况</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第二部分2024年单位预算公开表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w:t>
      </w:r>
      <w:bookmarkStart w:id="1" w:name="_GoBack"/>
      <w:bookmarkEnd w:id="1"/>
      <w:r>
        <w:rPr>
          <w:rFonts w:hint="eastAsia" w:ascii="仿宋_GB2312" w:hAnsi="宋体" w:eastAsia="仿宋_GB2312"/>
          <w:color w:val="auto"/>
          <w:kern w:val="0"/>
          <w:sz w:val="32"/>
          <w:szCs w:val="32"/>
          <w:highlight w:val="none"/>
        </w:rPr>
        <w:t>资本经营预算支出情况表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第三部分2024年单位预算情况说明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一、关于托克逊县阿乐惠镇卫生院单位2024年收支预算情况的总体说明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二、关于托克逊县阿乐惠镇卫生院单位2024年收入预算情况说明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三、关于托克逊县阿乐惠镇卫生院单位2024年支出预算情况说明</w:t>
      </w:r>
    </w:p>
    <w:p>
      <w:pPr>
        <w:widowControl/>
        <w:spacing w:line="600" w:lineRule="exact"/>
        <w:ind w:firstLine="640" w:firstLineChars="200"/>
        <w:outlineLvl w:val="1"/>
        <w:rPr>
          <w:rFonts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四、关于托克逊县阿乐惠镇卫生院单位2024年财政拨款收支预算情况的总体说明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五、关于托克逊县阿乐惠镇卫生院单位2024年一般公共预算当年拨款情况说明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六、关于托克逊县阿乐惠镇卫生院单位2024年一般公共预算基本支出情况说明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七、关于托克逊县阿乐惠镇卫生院单位2024年一般公共预算项目支出情况说明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八、关于托克逊县阿乐惠镇卫生院单位2024年政府性基金预算拨款情况说明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九、关于托克逊县阿乐惠镇卫生院单位2024年国有资本经营预算拨款情况说明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十、关于托克逊县阿乐惠镇卫生院单位2024年财政拨款“三公”经费预算情况说明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十一、关于托克逊县阿乐惠镇卫生院单位2024年上年结转结余预算情况说明</w:t>
      </w:r>
    </w:p>
    <w:p>
      <w:pPr>
        <w:widowControl/>
        <w:spacing w:line="600" w:lineRule="exact"/>
        <w:ind w:firstLine="640" w:firstLineChars="200"/>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pPr>
        <w:widowControl/>
        <w:spacing w:line="600" w:lineRule="exact"/>
        <w:ind w:firstLine="643" w:firstLineChars="200"/>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第四部分名词解释</w:t>
      </w:r>
    </w:p>
    <w:p>
      <w:pPr>
        <w:widowControl/>
        <w:jc w:val="center"/>
        <w:outlineLvl w:val="1"/>
        <w:rPr>
          <w:rFonts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第一部分2024年单位概况</w:t>
      </w:r>
    </w:p>
    <w:p>
      <w:pPr>
        <w:widowControl/>
        <w:jc w:val="center"/>
        <w:outlineLvl w:val="1"/>
        <w:rPr>
          <w:rFonts w:ascii="宋体" w:hAnsi="宋体"/>
          <w:b/>
          <w:color w:val="auto"/>
          <w:kern w:val="0"/>
          <w:sz w:val="32"/>
          <w:szCs w:val="32"/>
          <w:highlight w:val="none"/>
        </w:rPr>
      </w:pPr>
    </w:p>
    <w:p>
      <w:pPr>
        <w:widowControl/>
        <w:spacing w:line="560" w:lineRule="exact"/>
        <w:jc w:val="left"/>
        <w:rPr>
          <w:rFonts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w:t>
      </w: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firstLineChars="20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1.承担本镇农村居民健康档案规范建档指导、管理及服务。</w:t>
      </w:r>
    </w:p>
    <w:p>
      <w:pPr>
        <w:widowControl/>
        <w:spacing w:line="540" w:lineRule="exact"/>
        <w:ind w:firstLine="640" w:firstLineChars="20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2.普及卫生保健常识，指导开展爱国卫生工作。</w:t>
      </w:r>
    </w:p>
    <w:p>
      <w:pPr>
        <w:widowControl/>
        <w:spacing w:line="540" w:lineRule="exact"/>
        <w:ind w:firstLine="640" w:firstLineChars="20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3.提供并组织实施本乡预防接种服务，落实国家免疫规划。</w:t>
      </w:r>
    </w:p>
    <w:p>
      <w:pPr>
        <w:widowControl/>
        <w:spacing w:line="540" w:lineRule="exact"/>
        <w:ind w:firstLine="640" w:firstLineChars="20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4.及时发现、登记并报告本乡内发现的传染病病例和疑似病例，参与现场疫情处理。</w:t>
      </w:r>
    </w:p>
    <w:p>
      <w:pPr>
        <w:widowControl/>
        <w:spacing w:line="540" w:lineRule="exact"/>
        <w:ind w:firstLine="640" w:firstLineChars="20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5.开展新生儿访视及儿童保健系统管理，进行体格检查和生长发育监测及评价，开展健康指导。</w:t>
      </w:r>
    </w:p>
    <w:p>
      <w:pPr>
        <w:widowControl/>
        <w:spacing w:line="540" w:lineRule="exact"/>
        <w:ind w:firstLine="640" w:firstLineChars="20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6.开展孕产妇保健系统管理和产后访视。</w:t>
      </w:r>
    </w:p>
    <w:p>
      <w:pPr>
        <w:widowControl/>
        <w:spacing w:line="540" w:lineRule="exact"/>
        <w:ind w:firstLine="640" w:firstLineChars="20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7.对本乡65岁及以上老年人进行登记管理，进行健康危险因素调查和一般体格检查，开展健康指导。</w:t>
      </w:r>
    </w:p>
    <w:p>
      <w:pPr>
        <w:widowControl/>
        <w:spacing w:line="540" w:lineRule="exact"/>
        <w:ind w:firstLine="640" w:firstLineChars="20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8.对高血压、糖尿病等慢性病高危人群进行指导，并进行登记管理、定期随访和健康指导。</w:t>
      </w:r>
    </w:p>
    <w:p>
      <w:pPr>
        <w:widowControl/>
        <w:spacing w:line="540" w:lineRule="exact"/>
        <w:ind w:firstLine="640" w:firstLineChars="20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9.对本乡重性精神疾病患者进行登记管理、治疗随访和康复指导。</w:t>
      </w:r>
    </w:p>
    <w:p>
      <w:pPr>
        <w:widowControl/>
        <w:spacing w:line="540" w:lineRule="exact"/>
        <w:ind w:firstLine="640" w:firstLineChars="20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10.负责本镇内突发公共卫生事件的报告并协助处理。</w:t>
      </w:r>
    </w:p>
    <w:p>
      <w:pPr>
        <w:widowControl/>
        <w:spacing w:line="540" w:lineRule="exact"/>
        <w:ind w:firstLine="640" w:firstLineChars="200"/>
        <w:jc w:val="left"/>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11.做好卫生行政部门规定的其他公共卫生服务。</w:t>
      </w:r>
    </w:p>
    <w:p>
      <w:pPr>
        <w:widowControl/>
        <w:spacing w:line="560" w:lineRule="exact"/>
        <w:jc w:val="left"/>
        <w:rPr>
          <w:rFonts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w:t>
      </w: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托克逊县阿乐惠镇卫生院单位无下属预算单位，下设7个处室，分别是：办公室、门诊、康复科、功能科、妇保儿保科、防疫科、财务科</w:t>
      </w:r>
      <w:r>
        <w:rPr>
          <w:rFonts w:hint="eastAsia" w:ascii="仿宋_GB2312" w:hAnsi="宋体" w:eastAsia="仿宋_GB2312" w:cs="宋体"/>
          <w:color w:val="auto"/>
          <w:kern w:val="0"/>
          <w:sz w:val="32"/>
          <w:szCs w:val="32"/>
          <w:highlight w:val="none"/>
        </w:rPr>
        <w:t>。</w:t>
      </w:r>
    </w:p>
    <w:p>
      <w:pPr>
        <w:widowControl/>
        <w:spacing w:line="56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托克逊县阿乐惠镇卫生院单位编制数14，实有人数13人，其中：在职13人，增加0人；退休0人，增加0人；离休0人，增加0人。</w:t>
      </w:r>
    </w:p>
    <w:p>
      <w:pPr>
        <w:widowControl/>
        <w:spacing w:before="156" w:beforeLines="50"/>
        <w:jc w:val="center"/>
        <w:outlineLvl w:val="1"/>
        <w:rPr>
          <w:rFonts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第二部分2024年单位预算公开表</w:t>
      </w:r>
    </w:p>
    <w:p>
      <w:pPr>
        <w:widowControl/>
        <w:spacing w:before="156" w:beforeLines="50"/>
        <w:outlineLvl w:val="1"/>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编制单位：托克逊县阿乐惠镇卫生院</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343.26</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207.67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204.47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306.35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135.59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135.59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16.52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343.26</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343.26</w:t>
            </w:r>
          </w:p>
        </w:tc>
      </w:tr>
    </w:tbl>
    <w:p>
      <w:pPr>
        <w:widowControl/>
        <w:jc w:val="left"/>
        <w:outlineLvl w:val="1"/>
        <w:rPr>
          <w:rFonts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5"/>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00" w:type="dxa"/>
            <w:tcBorders>
              <w:top w:val="nil"/>
              <w:left w:val="nil"/>
              <w:bottom w:val="nil"/>
              <w:right w:val="nil"/>
            </w:tcBorders>
          </w:tcPr>
          <w:p>
            <w:pPr>
              <w:widowControl/>
              <w:jc w:val="left"/>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编制单位：托克逊县阿乐惠镇卫生院</w:t>
            </w:r>
          </w:p>
        </w:tc>
        <w:tc>
          <w:tcPr>
            <w:tcW w:w="3889" w:type="dxa"/>
            <w:tcBorders>
              <w:top w:val="nil"/>
              <w:left w:val="nil"/>
              <w:bottom w:val="nil"/>
              <w:right w:val="nil"/>
            </w:tcBorders>
          </w:tcPr>
          <w:p>
            <w:pPr>
              <w:widowControl/>
              <w:jc w:val="right"/>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20.39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20.39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20.39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20.39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20.39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20.39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20.39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20.39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20.39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306.35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170.76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167.56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135.59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基层医疗卫生机构</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279.48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143.89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143.89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135.59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乡镇卫生院</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277.48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141.89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141.89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135.59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其他基层医疗卫生机构支出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公共卫生</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18.20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18.20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15.00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08</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基本公共卫生服务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8.00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8.00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0.20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0.20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0.20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8.67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8.67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8.67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8.67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8.67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8.67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16.52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16.52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16.52</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16.52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16.52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16.52</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16.52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16.52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16.52</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343.26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207.67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204.47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135.59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r>
    </w:tbl>
    <w:p>
      <w:pPr>
        <w:widowControl/>
        <w:jc w:val="left"/>
        <w:outlineLvl w:val="1"/>
        <w:rPr>
          <w:rFonts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5"/>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编制单位：托克逊县阿乐惠镇卫生院</w:t>
            </w:r>
          </w:p>
        </w:tc>
        <w:tc>
          <w:tcPr>
            <w:tcW w:w="1300" w:type="dxa"/>
            <w:tcBorders>
              <w:top w:val="nil"/>
              <w:left w:val="nil"/>
              <w:bottom w:val="nil"/>
              <w:right w:val="nil"/>
            </w:tcBorders>
          </w:tcPr>
          <w:p>
            <w:pPr>
              <w:widowControl/>
              <w:jc w:val="right"/>
              <w:outlineLvl w:val="1"/>
              <w:rPr>
                <w:rFonts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20.39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20.39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20.39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20.39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20.39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20.39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306.35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150.56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155.79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基层医疗卫生机构</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279.48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141.89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137.59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乡镇卫生院</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277.48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141.89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135.59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其他基层医疗卫生机构支出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公共卫生</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18.20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18.20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08</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基本公共卫生服务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8.00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8.00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重大公共卫生服务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其他公共卫生支出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8.67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8.67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8.67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8.67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16.52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16.52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16.52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16.52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16.52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16.52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343.26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187.47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155.79</w:t>
            </w:r>
          </w:p>
        </w:tc>
      </w:tr>
    </w:tbl>
    <w:p>
      <w:pPr>
        <w:widowControl/>
        <w:spacing w:before="120" w:beforeLines="50"/>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pPr>
        <w:widowControl/>
        <w:spacing w:before="120" w:beforeLines="50"/>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编制单位：托克逊县阿乐惠镇卫生院</w:t>
            </w:r>
          </w:p>
        </w:tc>
        <w:tc>
          <w:tcPr>
            <w:tcW w:w="1808" w:type="dxa"/>
            <w:gridSpan w:val="3"/>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207.67</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207.67</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20.39</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20.39</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170.76</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170.76</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16.52</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16.52</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207.67</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207.67</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207.67</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bl>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pPr>
        <w:widowControl/>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5"/>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编制单位：托克逊县阿乐惠镇卫生院</w:t>
            </w:r>
          </w:p>
        </w:tc>
        <w:tc>
          <w:tcPr>
            <w:tcW w:w="1307"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20.39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20.39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20.39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20.39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170.76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150.56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20.20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基层医疗卫生机构</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143.89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141.89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w:t>
            </w:r>
          </w:p>
        </w:tc>
      </w:tr>
      <w:tr>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乡镇卫生院</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141.89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141.89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其他基层医疗卫生机构支出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公共卫生</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18.20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18.20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基本公共卫生服务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重大公共卫生服务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其他公共卫生支出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8.67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8.67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8.67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8.67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16.52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16.52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16.52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16.52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16.52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16.52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207.67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187.47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20.20</w:t>
            </w:r>
          </w:p>
        </w:tc>
      </w:tr>
    </w:tbl>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5"/>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编制单位：托克逊县阿乐惠镇卫生院</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184.99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184.99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42.74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42.74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29.47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29.47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37.63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37.63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28.68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28.68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20.39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20.39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8.67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8.67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16.52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16.52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2.48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2.48</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2.48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2.48</w:t>
            </w: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187.47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184.99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2.48</w:t>
            </w:r>
          </w:p>
        </w:tc>
      </w:tr>
    </w:tbl>
    <w:p>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pPr>
        <w:jc w:val="center"/>
        <w:rPr>
          <w:rFonts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5"/>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编制单位：托克逊县阿乐惠镇卫生院</w:t>
            </w:r>
          </w:p>
        </w:tc>
        <w:tc>
          <w:tcPr>
            <w:tcW w:w="2720" w:type="dxa"/>
            <w:tcBorders>
              <w:top w:val="nil"/>
              <w:left w:val="nil"/>
              <w:bottom w:val="nil"/>
              <w:right w:val="nil"/>
            </w:tcBorders>
          </w:tcPr>
          <w:p>
            <w:pPr>
              <w:widowControl/>
              <w:jc w:val="right"/>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pPr>
              <w:jc w:val="center"/>
              <w:rPr>
                <w:color w:val="auto"/>
                <w:sz w:val="20"/>
                <w:szCs w:val="20"/>
                <w:highlight w:val="none"/>
              </w:rPr>
            </w:pPr>
          </w:p>
        </w:tc>
        <w:tc>
          <w:tcPr>
            <w:tcW w:w="2170" w:type="dxa"/>
            <w:vMerge w:val="continue"/>
            <w:shd w:val="clear" w:color="auto" w:fill="auto"/>
            <w:vAlign w:val="center"/>
          </w:tcPr>
          <w:p>
            <w:pPr>
              <w:jc w:val="center"/>
              <w:rPr>
                <w:color w:val="auto"/>
                <w:sz w:val="20"/>
                <w:szCs w:val="20"/>
                <w:highlight w:val="none"/>
              </w:rPr>
            </w:pPr>
          </w:p>
        </w:tc>
        <w:tc>
          <w:tcPr>
            <w:tcW w:w="950" w:type="dxa"/>
            <w:vMerge w:val="continue"/>
            <w:shd w:val="clear" w:color="auto" w:fill="auto"/>
            <w:vAlign w:val="center"/>
          </w:tcPr>
          <w:p>
            <w:pPr>
              <w:jc w:val="center"/>
              <w:rPr>
                <w:color w:val="auto"/>
                <w:sz w:val="20"/>
                <w:szCs w:val="20"/>
                <w:highlight w:val="none"/>
              </w:rPr>
            </w:pPr>
          </w:p>
        </w:tc>
        <w:tc>
          <w:tcPr>
            <w:tcW w:w="720" w:type="dxa"/>
            <w:vMerge w:val="continue"/>
            <w:shd w:val="clear" w:color="auto" w:fill="auto"/>
            <w:vAlign w:val="center"/>
          </w:tcPr>
          <w:p>
            <w:pPr>
              <w:jc w:val="center"/>
              <w:rPr>
                <w:color w:val="auto"/>
                <w:sz w:val="20"/>
                <w:szCs w:val="20"/>
                <w:highlight w:val="none"/>
              </w:rPr>
            </w:pPr>
          </w:p>
        </w:tc>
        <w:tc>
          <w:tcPr>
            <w:tcW w:w="820" w:type="dxa"/>
            <w:vMerge w:val="continue"/>
            <w:shd w:val="clear" w:color="auto" w:fill="auto"/>
            <w:vAlign w:val="center"/>
          </w:tcPr>
          <w:p>
            <w:pPr>
              <w:jc w:val="center"/>
              <w:rPr>
                <w:color w:val="auto"/>
                <w:sz w:val="20"/>
                <w:szCs w:val="20"/>
                <w:highlight w:val="none"/>
              </w:rPr>
            </w:pPr>
          </w:p>
        </w:tc>
        <w:tc>
          <w:tcPr>
            <w:tcW w:w="670" w:type="dxa"/>
            <w:vMerge w:val="continue"/>
            <w:shd w:val="clear" w:color="auto" w:fill="auto"/>
            <w:vAlign w:val="center"/>
          </w:tcPr>
          <w:p>
            <w:pPr>
              <w:jc w:val="center"/>
              <w:rPr>
                <w:color w:val="auto"/>
                <w:sz w:val="20"/>
                <w:szCs w:val="20"/>
                <w:highlight w:val="none"/>
              </w:rPr>
            </w:pPr>
          </w:p>
        </w:tc>
        <w:tc>
          <w:tcPr>
            <w:tcW w:w="710" w:type="dxa"/>
            <w:vMerge w:val="continue"/>
            <w:shd w:val="clear" w:color="auto" w:fill="auto"/>
            <w:vAlign w:val="center"/>
          </w:tcPr>
          <w:p>
            <w:pPr>
              <w:jc w:val="center"/>
              <w:rPr>
                <w:color w:val="auto"/>
                <w:sz w:val="20"/>
                <w:szCs w:val="20"/>
                <w:highlight w:val="none"/>
              </w:rPr>
            </w:pPr>
          </w:p>
        </w:tc>
        <w:tc>
          <w:tcPr>
            <w:tcW w:w="700" w:type="dxa"/>
            <w:vMerge w:val="continue"/>
            <w:shd w:val="clear" w:color="auto" w:fill="auto"/>
            <w:vAlign w:val="center"/>
          </w:tcPr>
          <w:p>
            <w:pPr>
              <w:jc w:val="center"/>
              <w:rPr>
                <w:color w:val="auto"/>
                <w:sz w:val="20"/>
                <w:szCs w:val="20"/>
                <w:highlight w:val="none"/>
              </w:rPr>
            </w:pPr>
          </w:p>
        </w:tc>
        <w:tc>
          <w:tcPr>
            <w:tcW w:w="710" w:type="dxa"/>
            <w:vMerge w:val="continue"/>
            <w:shd w:val="clear" w:color="auto" w:fill="auto"/>
            <w:vAlign w:val="center"/>
          </w:tcPr>
          <w:p>
            <w:pPr>
              <w:jc w:val="center"/>
              <w:rPr>
                <w:color w:val="auto"/>
                <w:sz w:val="20"/>
                <w:szCs w:val="20"/>
                <w:highlight w:val="none"/>
              </w:rPr>
            </w:pPr>
          </w:p>
        </w:tc>
        <w:tc>
          <w:tcPr>
            <w:tcW w:w="790" w:type="dxa"/>
            <w:vMerge w:val="continue"/>
            <w:shd w:val="clear" w:color="auto" w:fill="auto"/>
          </w:tcPr>
          <w:p>
            <w:pPr>
              <w:jc w:val="center"/>
              <w:rPr>
                <w:color w:val="auto"/>
                <w:sz w:val="20"/>
                <w:szCs w:val="20"/>
                <w:highlight w:val="none"/>
              </w:rPr>
            </w:pPr>
          </w:p>
        </w:tc>
        <w:tc>
          <w:tcPr>
            <w:tcW w:w="640" w:type="dxa"/>
            <w:vMerge w:val="continue"/>
            <w:shd w:val="clear" w:color="auto" w:fill="auto"/>
            <w:vAlign w:val="center"/>
          </w:tcPr>
          <w:p>
            <w:pPr>
              <w:jc w:val="center"/>
              <w:rPr>
                <w:color w:val="auto"/>
                <w:sz w:val="20"/>
                <w:szCs w:val="20"/>
                <w:highlight w:val="none"/>
              </w:rPr>
            </w:pPr>
          </w:p>
        </w:tc>
        <w:tc>
          <w:tcPr>
            <w:tcW w:w="700" w:type="dxa"/>
            <w:vMerge w:val="continue"/>
            <w:shd w:val="clear" w:color="auto" w:fill="auto"/>
          </w:tcPr>
          <w:p>
            <w:pPr>
              <w:jc w:val="center"/>
              <w:rPr>
                <w:color w:val="auto"/>
                <w:sz w:val="20"/>
                <w:szCs w:val="20"/>
                <w:highlight w:val="none"/>
              </w:rPr>
            </w:pPr>
          </w:p>
        </w:tc>
        <w:tc>
          <w:tcPr>
            <w:tcW w:w="620" w:type="dxa"/>
            <w:vMerge w:val="continue"/>
            <w:shd w:val="clear" w:color="auto" w:fill="auto"/>
          </w:tcPr>
          <w:p>
            <w:pPr>
              <w:jc w:val="center"/>
              <w:rPr>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2170" w:type="dxa"/>
            <w:shd w:val="clear" w:color="auto" w:fill="auto"/>
            <w:vAlign w:val="center"/>
          </w:tcPr>
          <w:p>
            <w:pPr>
              <w:jc w:val="left"/>
              <w:rPr>
                <w:rFonts w:ascii="仿宋_GB2312" w:hAnsi="宋体" w:eastAsia="仿宋_GB2312" w:cs="宋体"/>
                <w:b/>
                <w:color w:val="auto"/>
                <w:sz w:val="18"/>
                <w:szCs w:val="18"/>
                <w:highlight w:val="none"/>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20.20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20.20</w:t>
            </w:r>
          </w:p>
        </w:tc>
        <w:tc>
          <w:tcPr>
            <w:tcW w:w="67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03</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基层医疗卫生机构</w:t>
            </w:r>
          </w:p>
        </w:tc>
        <w:tc>
          <w:tcPr>
            <w:tcW w:w="2170" w:type="dxa"/>
            <w:shd w:val="clear" w:color="auto" w:fill="auto"/>
            <w:vAlign w:val="center"/>
          </w:tcPr>
          <w:p>
            <w:pPr>
              <w:jc w:val="left"/>
              <w:rPr>
                <w:rFonts w:ascii="仿宋_GB2312" w:hAnsi="宋体" w:eastAsia="仿宋_GB2312" w:cs="宋体"/>
                <w:b/>
                <w:color w:val="auto"/>
                <w:sz w:val="18"/>
                <w:szCs w:val="18"/>
                <w:highlight w:val="none"/>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w:t>
            </w:r>
          </w:p>
        </w:tc>
        <w:tc>
          <w:tcPr>
            <w:tcW w:w="67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其他基层医疗卫生机构支出</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2024年县级基本药物制度补助资金（县级配套）</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2.00</w:t>
            </w:r>
          </w:p>
        </w:tc>
        <w:tc>
          <w:tcPr>
            <w:tcW w:w="67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04</w:t>
            </w: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公共卫生</w:t>
            </w:r>
          </w:p>
        </w:tc>
        <w:tc>
          <w:tcPr>
            <w:tcW w:w="2170" w:type="dxa"/>
            <w:shd w:val="clear" w:color="auto" w:fill="auto"/>
            <w:vAlign w:val="center"/>
          </w:tcPr>
          <w:p>
            <w:pPr>
              <w:jc w:val="left"/>
              <w:rPr>
                <w:rFonts w:ascii="仿宋_GB2312" w:hAnsi="宋体" w:eastAsia="仿宋_GB2312" w:cs="宋体"/>
                <w:b/>
                <w:color w:val="auto"/>
                <w:sz w:val="18"/>
                <w:szCs w:val="18"/>
                <w:highlight w:val="none"/>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18.20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18.20</w:t>
            </w:r>
          </w:p>
        </w:tc>
        <w:tc>
          <w:tcPr>
            <w:tcW w:w="67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04</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08</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基本公共卫生服务</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2024年基本公共卫生服务县级配套补助资金（县级配套）</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5.00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5.00</w:t>
            </w:r>
          </w:p>
        </w:tc>
        <w:tc>
          <w:tcPr>
            <w:tcW w:w="67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04</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08</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基本公共卫生服务</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吐市财社[2023]97号、2024年自治区提前下达基本公共卫生服务补助资金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w:t>
            </w:r>
          </w:p>
        </w:tc>
        <w:tc>
          <w:tcPr>
            <w:tcW w:w="67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04</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09</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重大公共卫生服务</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吐市财社[2023]80号，2024年中央重大传染病防控经费（135.34万）</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0.20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0.20</w:t>
            </w:r>
          </w:p>
        </w:tc>
        <w:tc>
          <w:tcPr>
            <w:tcW w:w="67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210</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04</w:t>
            </w:r>
          </w:p>
        </w:tc>
        <w:tc>
          <w:tcPr>
            <w:tcW w:w="567" w:type="dxa"/>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其他公共卫生支出</w:t>
            </w:r>
          </w:p>
        </w:tc>
        <w:tc>
          <w:tcPr>
            <w:tcW w:w="2170" w:type="dxa"/>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2024年全民健康体检县级补助资金（县级配套）</w:t>
            </w:r>
          </w:p>
        </w:tc>
        <w:tc>
          <w:tcPr>
            <w:tcW w:w="950" w:type="dxa"/>
            <w:shd w:val="clear" w:color="auto" w:fill="auto"/>
            <w:vAlign w:val="center"/>
          </w:tcPr>
          <w:p>
            <w:pPr>
              <w:ind w:right="-29" w:rightChars="-14"/>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10.00</w:t>
            </w:r>
          </w:p>
        </w:tc>
        <w:tc>
          <w:tcPr>
            <w:tcW w:w="720" w:type="dxa"/>
            <w:shd w:val="clear" w:color="auto" w:fill="auto"/>
            <w:vAlign w:val="center"/>
          </w:tcPr>
          <w:p>
            <w:pPr>
              <w:jc w:val="right"/>
              <w:rPr>
                <w:rFonts w:ascii="仿宋_GB2312" w:hAnsi="宋体" w:eastAsia="仿宋_GB2312" w:cs="宋体"/>
                <w:color w:val="auto"/>
                <w:sz w:val="18"/>
                <w:szCs w:val="18"/>
                <w:highlight w:val="none"/>
              </w:rPr>
            </w:pPr>
          </w:p>
        </w:tc>
        <w:tc>
          <w:tcPr>
            <w:tcW w:w="820" w:type="dxa"/>
            <w:shd w:val="clear" w:color="auto" w:fill="auto"/>
            <w:vAlign w:val="center"/>
          </w:tcPr>
          <w:p>
            <w:pPr>
              <w:jc w:val="right"/>
              <w:rPr>
                <w:rFonts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10.00</w:t>
            </w:r>
          </w:p>
        </w:tc>
        <w:tc>
          <w:tcPr>
            <w:tcW w:w="67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710" w:type="dxa"/>
            <w:shd w:val="clear" w:color="auto" w:fill="auto"/>
            <w:vAlign w:val="center"/>
          </w:tcPr>
          <w:p>
            <w:pPr>
              <w:jc w:val="right"/>
              <w:rPr>
                <w:rFonts w:ascii="仿宋_GB2312" w:hAnsi="宋体" w:eastAsia="仿宋_GB2312" w:cs="宋体"/>
                <w:color w:val="auto"/>
                <w:sz w:val="18"/>
                <w:szCs w:val="18"/>
                <w:highlight w:val="none"/>
              </w:rPr>
            </w:pPr>
          </w:p>
        </w:tc>
        <w:tc>
          <w:tcPr>
            <w:tcW w:w="790" w:type="dxa"/>
            <w:shd w:val="clear" w:color="auto" w:fill="auto"/>
            <w:vAlign w:val="center"/>
          </w:tcPr>
          <w:p>
            <w:pPr>
              <w:jc w:val="right"/>
              <w:rPr>
                <w:rFonts w:ascii="仿宋_GB2312" w:hAnsi="宋体" w:eastAsia="仿宋_GB2312" w:cs="宋体"/>
                <w:color w:val="auto"/>
                <w:sz w:val="18"/>
                <w:szCs w:val="18"/>
                <w:highlight w:val="none"/>
              </w:rPr>
            </w:pPr>
          </w:p>
        </w:tc>
        <w:tc>
          <w:tcPr>
            <w:tcW w:w="640" w:type="dxa"/>
            <w:shd w:val="clear" w:color="auto" w:fill="auto"/>
            <w:vAlign w:val="center"/>
          </w:tcPr>
          <w:p>
            <w:pPr>
              <w:jc w:val="right"/>
              <w:rPr>
                <w:rFonts w:ascii="仿宋_GB2312" w:hAnsi="宋体" w:eastAsia="仿宋_GB2312" w:cs="宋体"/>
                <w:color w:val="auto"/>
                <w:sz w:val="18"/>
                <w:szCs w:val="18"/>
                <w:highlight w:val="none"/>
              </w:rPr>
            </w:pPr>
          </w:p>
        </w:tc>
        <w:tc>
          <w:tcPr>
            <w:tcW w:w="700" w:type="dxa"/>
            <w:shd w:val="clear" w:color="auto" w:fill="auto"/>
            <w:vAlign w:val="center"/>
          </w:tcPr>
          <w:p>
            <w:pPr>
              <w:jc w:val="right"/>
              <w:rPr>
                <w:rFonts w:ascii="仿宋_GB2312" w:hAnsi="宋体" w:eastAsia="仿宋_GB2312" w:cs="宋体"/>
                <w:color w:val="auto"/>
                <w:sz w:val="18"/>
                <w:szCs w:val="18"/>
                <w:highlight w:val="none"/>
              </w:rPr>
            </w:pPr>
          </w:p>
        </w:tc>
        <w:tc>
          <w:tcPr>
            <w:tcW w:w="620" w:type="dxa"/>
            <w:shd w:val="clear" w:color="auto" w:fill="auto"/>
            <w:vAlign w:val="center"/>
          </w:tcPr>
          <w:p>
            <w:pPr>
              <w:jc w:val="right"/>
              <w:rPr>
                <w:rFonts w:ascii="仿宋_GB2312" w:hAnsi="宋体" w:eastAsia="仿宋_GB2312"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highlight w:val="none"/>
              </w:rPr>
            </w:pP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567" w:type="dxa"/>
            <w:shd w:val="clear" w:color="auto" w:fill="auto"/>
            <w:vAlign w:val="center"/>
          </w:tcPr>
          <w:p>
            <w:pPr>
              <w:jc w:val="center"/>
              <w:rPr>
                <w:rFonts w:ascii="仿宋_GB2312" w:hAnsi="宋体" w:eastAsia="仿宋_GB2312" w:cs="宋体"/>
                <w:b/>
                <w:color w:val="auto"/>
                <w:sz w:val="18"/>
                <w:szCs w:val="18"/>
                <w:highlight w:val="none"/>
              </w:rPr>
            </w:pPr>
          </w:p>
        </w:tc>
        <w:tc>
          <w:tcPr>
            <w:tcW w:w="2321" w:type="dxa"/>
            <w:shd w:val="clear" w:color="auto" w:fill="auto"/>
            <w:vAlign w:val="center"/>
          </w:tcPr>
          <w:p>
            <w:pPr>
              <w:jc w:val="left"/>
              <w:rPr>
                <w:rFonts w:ascii="仿宋_GB2312" w:hAnsi="宋体" w:eastAsia="仿宋_GB2312" w:cs="宋体"/>
                <w:b/>
                <w:color w:val="auto"/>
                <w:sz w:val="18"/>
                <w:szCs w:val="18"/>
                <w:highlight w:val="none"/>
              </w:rPr>
            </w:pPr>
          </w:p>
        </w:tc>
        <w:tc>
          <w:tcPr>
            <w:tcW w:w="2170" w:type="dxa"/>
            <w:shd w:val="clear" w:color="auto" w:fill="auto"/>
            <w:vAlign w:val="center"/>
          </w:tcPr>
          <w:p>
            <w:pPr>
              <w:jc w:val="lef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pPr>
              <w:ind w:right="-29" w:rightChars="-14"/>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20.20</w:t>
            </w:r>
          </w:p>
        </w:tc>
        <w:tc>
          <w:tcPr>
            <w:tcW w:w="720" w:type="dxa"/>
            <w:shd w:val="clear" w:color="auto" w:fill="auto"/>
            <w:vAlign w:val="center"/>
          </w:tcPr>
          <w:p>
            <w:pPr>
              <w:jc w:val="right"/>
              <w:rPr>
                <w:rFonts w:ascii="仿宋_GB2312" w:hAnsi="宋体" w:eastAsia="仿宋_GB2312" w:cs="宋体"/>
                <w:b/>
                <w:color w:val="auto"/>
                <w:sz w:val="18"/>
                <w:szCs w:val="18"/>
                <w:highlight w:val="none"/>
              </w:rPr>
            </w:pPr>
          </w:p>
        </w:tc>
        <w:tc>
          <w:tcPr>
            <w:tcW w:w="820" w:type="dxa"/>
            <w:shd w:val="clear" w:color="auto" w:fill="auto"/>
            <w:vAlign w:val="center"/>
          </w:tcPr>
          <w:p>
            <w:pPr>
              <w:jc w:val="right"/>
              <w:rPr>
                <w:rFonts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20.20</w:t>
            </w:r>
          </w:p>
        </w:tc>
        <w:tc>
          <w:tcPr>
            <w:tcW w:w="67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710" w:type="dxa"/>
            <w:shd w:val="clear" w:color="auto" w:fill="auto"/>
            <w:vAlign w:val="center"/>
          </w:tcPr>
          <w:p>
            <w:pPr>
              <w:jc w:val="right"/>
              <w:rPr>
                <w:rFonts w:ascii="仿宋_GB2312" w:hAnsi="宋体" w:eastAsia="仿宋_GB2312" w:cs="宋体"/>
                <w:b/>
                <w:color w:val="auto"/>
                <w:sz w:val="18"/>
                <w:szCs w:val="18"/>
                <w:highlight w:val="none"/>
              </w:rPr>
            </w:pPr>
          </w:p>
        </w:tc>
        <w:tc>
          <w:tcPr>
            <w:tcW w:w="790" w:type="dxa"/>
            <w:shd w:val="clear" w:color="auto" w:fill="auto"/>
            <w:vAlign w:val="center"/>
          </w:tcPr>
          <w:p>
            <w:pPr>
              <w:jc w:val="right"/>
              <w:rPr>
                <w:rFonts w:ascii="仿宋_GB2312" w:hAnsi="宋体" w:eastAsia="仿宋_GB2312" w:cs="宋体"/>
                <w:b/>
                <w:color w:val="auto"/>
                <w:sz w:val="18"/>
                <w:szCs w:val="18"/>
                <w:highlight w:val="none"/>
              </w:rPr>
            </w:pPr>
          </w:p>
        </w:tc>
        <w:tc>
          <w:tcPr>
            <w:tcW w:w="640" w:type="dxa"/>
            <w:shd w:val="clear" w:color="auto" w:fill="auto"/>
            <w:vAlign w:val="center"/>
          </w:tcPr>
          <w:p>
            <w:pPr>
              <w:jc w:val="right"/>
              <w:rPr>
                <w:rFonts w:ascii="仿宋_GB2312" w:hAnsi="宋体" w:eastAsia="仿宋_GB2312" w:cs="宋体"/>
                <w:b/>
                <w:color w:val="auto"/>
                <w:sz w:val="18"/>
                <w:szCs w:val="18"/>
                <w:highlight w:val="none"/>
              </w:rPr>
            </w:pPr>
          </w:p>
        </w:tc>
        <w:tc>
          <w:tcPr>
            <w:tcW w:w="700" w:type="dxa"/>
            <w:shd w:val="clear" w:color="auto" w:fill="auto"/>
            <w:vAlign w:val="center"/>
          </w:tcPr>
          <w:p>
            <w:pPr>
              <w:jc w:val="right"/>
              <w:rPr>
                <w:rFonts w:ascii="仿宋_GB2312" w:hAnsi="宋体" w:eastAsia="仿宋_GB2312" w:cs="宋体"/>
                <w:b/>
                <w:color w:val="auto"/>
                <w:sz w:val="18"/>
                <w:szCs w:val="18"/>
                <w:highlight w:val="none"/>
              </w:rPr>
            </w:pPr>
          </w:p>
        </w:tc>
        <w:tc>
          <w:tcPr>
            <w:tcW w:w="620" w:type="dxa"/>
            <w:shd w:val="clear" w:color="auto" w:fill="auto"/>
            <w:vAlign w:val="center"/>
          </w:tcPr>
          <w:p>
            <w:pPr>
              <w:jc w:val="right"/>
              <w:rPr>
                <w:rFonts w:ascii="仿宋_GB2312" w:hAnsi="宋体" w:eastAsia="仿宋_GB2312" w:cs="宋体"/>
                <w:b/>
                <w:color w:val="auto"/>
                <w:sz w:val="18"/>
                <w:szCs w:val="18"/>
                <w:highlight w:val="none"/>
              </w:rPr>
            </w:pPr>
          </w:p>
        </w:tc>
      </w:tr>
    </w:tbl>
    <w:p>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编制单位：托克逊县阿乐惠镇卫生院</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bl>
    <w:p>
      <w:pPr>
        <w:widowControl/>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备注：托克逊县阿乐惠镇卫生院2024年没有使用政府性基金预算拨款安排的支出，政府性基金预算支出情况表为空表。</w:t>
      </w:r>
    </w:p>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编制单位：托克逊县阿乐惠镇卫生院</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highlight w:val="none"/>
              </w:rPr>
            </w:pPr>
          </w:p>
        </w:tc>
      </w:tr>
    </w:tbl>
    <w:p>
      <w:pPr>
        <w:widowControl/>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备注：托克逊县阿乐惠镇卫生院2024年没有使用国有资本经营预算拨款安排的支出，国有资本经营预算支出情况表为空表。</w:t>
      </w:r>
    </w:p>
    <w:p>
      <w:pPr>
        <w:widowControl/>
        <w:jc w:val="left"/>
        <w:outlineLvl w:val="1"/>
        <w:rPr>
          <w:rFonts w:ascii="仿宋_GB2312" w:hAnsi="宋体" w:eastAsia="仿宋_GB2312"/>
          <w:b/>
          <w:color w:val="auto"/>
          <w:kern w:val="0"/>
          <w:sz w:val="32"/>
          <w:szCs w:val="32"/>
          <w:highlight w:val="none"/>
        </w:rPr>
      </w:pPr>
    </w:p>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pPr>
        <w:widowControl/>
        <w:jc w:val="left"/>
        <w:outlineLvl w:val="1"/>
        <w:rPr>
          <w:rFonts w:ascii="仿宋_GB2312" w:hAnsi="宋体" w:eastAsia="仿宋_GB2312"/>
          <w:b/>
          <w:color w:val="auto"/>
          <w:kern w:val="0"/>
          <w:sz w:val="32"/>
          <w:szCs w:val="32"/>
          <w:highlight w:val="none"/>
        </w:rPr>
      </w:pP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pPr>
        <w:widowControl/>
        <w:jc w:val="center"/>
        <w:outlineLvl w:val="1"/>
        <w:rPr>
          <w:rFonts w:ascii="仿宋_GB2312" w:hAnsi="宋体" w:eastAsia="仿宋_GB2312"/>
          <w:b/>
          <w:color w:val="auto"/>
          <w:kern w:val="0"/>
          <w:sz w:val="32"/>
          <w:szCs w:val="32"/>
          <w:highlight w:val="none"/>
        </w:rPr>
      </w:pPr>
    </w:p>
    <w:tbl>
      <w:tblPr>
        <w:tblStyle w:val="5"/>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编制单位：托克逊县阿乐惠镇卫生院</w:t>
            </w:r>
          </w:p>
        </w:tc>
        <w:tc>
          <w:tcPr>
            <w:tcW w:w="1312" w:type="dxa"/>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pPr>
        <w:rPr>
          <w:vanish/>
          <w:color w:val="auto"/>
          <w:highlight w:val="none"/>
        </w:rPr>
      </w:pPr>
    </w:p>
    <w:tbl>
      <w:tblPr>
        <w:tblStyle w:val="5"/>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highlight w:val="none"/>
              </w:rPr>
            </w:pPr>
          </w:p>
        </w:tc>
      </w:tr>
    </w:tbl>
    <w:p>
      <w:pPr>
        <w:widowControl/>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备注：托克逊县阿乐惠镇卫生院2024年未安排三公经费预算，三公经费支出情况表为空表。</w:t>
      </w:r>
    </w:p>
    <w:p>
      <w:pPr>
        <w:widowControl/>
        <w:jc w:val="left"/>
        <w:outlineLvl w:val="1"/>
        <w:rPr>
          <w:rFonts w:ascii="仿宋_GB2312" w:hAnsi="宋体" w:eastAsia="仿宋_GB2312"/>
          <w:b/>
          <w:color w:val="auto"/>
          <w:kern w:val="0"/>
          <w:sz w:val="32"/>
          <w:szCs w:val="32"/>
          <w:highlight w:val="none"/>
        </w:rPr>
      </w:pPr>
    </w:p>
    <w:p>
      <w:pPr>
        <w:widowControl/>
        <w:jc w:val="left"/>
        <w:outlineLvl w:val="1"/>
        <w:rPr>
          <w:rFonts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pPr>
        <w:widowControl/>
        <w:jc w:val="left"/>
        <w:outlineLvl w:val="1"/>
        <w:rPr>
          <w:rFonts w:ascii="仿宋_GB2312" w:hAnsi="宋体" w:eastAsia="仿宋_GB2312"/>
          <w:b/>
          <w:color w:val="auto"/>
          <w:kern w:val="0"/>
          <w:sz w:val="32"/>
          <w:szCs w:val="32"/>
          <w:highlight w:val="none"/>
        </w:rPr>
      </w:pPr>
    </w:p>
    <w:p>
      <w:pPr>
        <w:widowControl/>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pPr>
        <w:widowControl/>
        <w:jc w:val="center"/>
        <w:outlineLvl w:val="1"/>
        <w:rPr>
          <w:rFonts w:ascii="仿宋_GB2312" w:hAnsi="宋体" w:eastAsia="仿宋_GB2312"/>
          <w:b/>
          <w:color w:val="auto"/>
          <w:kern w:val="0"/>
          <w:sz w:val="32"/>
          <w:szCs w:val="32"/>
          <w:highlight w:val="none"/>
        </w:rPr>
      </w:pPr>
    </w:p>
    <w:tbl>
      <w:tblPr>
        <w:tblStyle w:val="5"/>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编制单位：托克逊县阿乐惠镇卫生院</w:t>
            </w:r>
          </w:p>
        </w:tc>
        <w:tc>
          <w:tcPr>
            <w:tcW w:w="2000" w:type="dxa"/>
            <w:gridSpan w:val="2"/>
            <w:tcBorders>
              <w:top w:val="nil"/>
              <w:left w:val="nil"/>
              <w:bottom w:val="nil"/>
              <w:right w:val="nil"/>
            </w:tcBorders>
          </w:tcPr>
          <w:p>
            <w:pPr>
              <w:widowControl/>
              <w:outlineLvl w:val="1"/>
              <w:rPr>
                <w:rFonts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869" w:type="dxa"/>
            <w:gridSpan w:val="4"/>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color w:val="auto"/>
                <w:kern w:val="0"/>
                <w:sz w:val="20"/>
                <w:szCs w:val="20"/>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91" w:type="dxa"/>
            <w:gridSpan w:val="2"/>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4"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901"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2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13"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91" w:type="dxa"/>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pPr>
              <w:widowControl/>
              <w:spacing w:line="280" w:lineRule="exact"/>
              <w:jc w:val="center"/>
              <w:rPr>
                <w:rFonts w:ascii="仿宋_GB2312" w:hAnsi="宋体" w:eastAsia="仿宋_GB2312"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highlight w:val="none"/>
              </w:rPr>
            </w:pP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1024" w:type="dxa"/>
            <w:vAlign w:val="center"/>
          </w:tcPr>
          <w:p>
            <w:pPr>
              <w:spacing w:line="600" w:lineRule="exact"/>
              <w:jc w:val="center"/>
              <w:rPr>
                <w:rFonts w:ascii="仿宋" w:hAnsi="仿宋" w:eastAsia="仿宋" w:cs="仿宋_GB2312"/>
                <w:bCs/>
                <w:color w:val="auto"/>
                <w:kern w:val="0"/>
                <w:sz w:val="18"/>
                <w:szCs w:val="18"/>
                <w:highlight w:val="none"/>
              </w:rPr>
            </w:pP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813" w:type="dxa"/>
            <w:vAlign w:val="center"/>
          </w:tcPr>
          <w:p>
            <w:pPr>
              <w:spacing w:line="600" w:lineRule="exact"/>
              <w:jc w:val="center"/>
              <w:rPr>
                <w:rFonts w:ascii="仿宋" w:hAnsi="仿宋" w:eastAsia="仿宋" w:cs="仿宋_GB2312"/>
                <w:bCs/>
                <w:color w:val="auto"/>
                <w:kern w:val="0"/>
                <w:sz w:val="18"/>
                <w:szCs w:val="18"/>
                <w:highlight w:val="none"/>
              </w:rPr>
            </w:pPr>
          </w:p>
        </w:tc>
        <w:tc>
          <w:tcPr>
            <w:tcW w:w="79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highlight w:val="none"/>
              </w:rPr>
            </w:pP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1024" w:type="dxa"/>
            <w:vAlign w:val="center"/>
          </w:tcPr>
          <w:p>
            <w:pPr>
              <w:spacing w:line="600" w:lineRule="exact"/>
              <w:jc w:val="center"/>
              <w:rPr>
                <w:rFonts w:ascii="仿宋" w:hAnsi="仿宋" w:eastAsia="仿宋" w:cs="仿宋_GB2312"/>
                <w:bCs/>
                <w:color w:val="auto"/>
                <w:kern w:val="0"/>
                <w:sz w:val="18"/>
                <w:szCs w:val="18"/>
                <w:highlight w:val="none"/>
              </w:rPr>
            </w:pP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813" w:type="dxa"/>
            <w:vAlign w:val="center"/>
          </w:tcPr>
          <w:p>
            <w:pPr>
              <w:spacing w:line="600" w:lineRule="exact"/>
              <w:jc w:val="center"/>
              <w:rPr>
                <w:rFonts w:ascii="仿宋" w:hAnsi="仿宋" w:eastAsia="仿宋" w:cs="仿宋_GB2312"/>
                <w:bCs/>
                <w:color w:val="auto"/>
                <w:kern w:val="0"/>
                <w:sz w:val="18"/>
                <w:szCs w:val="18"/>
                <w:highlight w:val="none"/>
              </w:rPr>
            </w:pPr>
          </w:p>
        </w:tc>
        <w:tc>
          <w:tcPr>
            <w:tcW w:w="79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highlight w:val="none"/>
              </w:rPr>
            </w:pPr>
          </w:p>
        </w:tc>
        <w:tc>
          <w:tcPr>
            <w:tcW w:w="850" w:type="dxa"/>
            <w:vAlign w:val="center"/>
          </w:tcPr>
          <w:p>
            <w:pPr>
              <w:spacing w:line="600" w:lineRule="exact"/>
              <w:jc w:val="center"/>
              <w:rPr>
                <w:rFonts w:ascii="仿宋" w:hAnsi="仿宋" w:eastAsia="仿宋" w:cs="仿宋_GB2312"/>
                <w:bCs/>
                <w:color w:val="auto"/>
                <w:kern w:val="0"/>
                <w:sz w:val="18"/>
                <w:szCs w:val="18"/>
                <w:highlight w:val="none"/>
              </w:rPr>
            </w:pPr>
          </w:p>
        </w:tc>
        <w:tc>
          <w:tcPr>
            <w:tcW w:w="1054" w:type="dxa"/>
            <w:vAlign w:val="center"/>
          </w:tcPr>
          <w:p>
            <w:pPr>
              <w:spacing w:line="600" w:lineRule="exact"/>
              <w:jc w:val="center"/>
              <w:rPr>
                <w:rFonts w:ascii="仿宋" w:hAnsi="仿宋" w:eastAsia="仿宋" w:cs="仿宋_GB2312"/>
                <w:bCs/>
                <w:color w:val="auto"/>
                <w:kern w:val="0"/>
                <w:sz w:val="18"/>
                <w:szCs w:val="18"/>
                <w:highlight w:val="none"/>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highlight w:val="none"/>
              </w:rPr>
            </w:pPr>
          </w:p>
        </w:tc>
        <w:tc>
          <w:tcPr>
            <w:tcW w:w="1024" w:type="dxa"/>
            <w:vAlign w:val="center"/>
          </w:tcPr>
          <w:p>
            <w:pPr>
              <w:spacing w:line="600" w:lineRule="exact"/>
              <w:jc w:val="center"/>
              <w:rPr>
                <w:rFonts w:ascii="仿宋" w:hAnsi="仿宋" w:eastAsia="仿宋" w:cs="仿宋_GB2312"/>
                <w:bCs/>
                <w:color w:val="auto"/>
                <w:kern w:val="0"/>
                <w:sz w:val="18"/>
                <w:szCs w:val="18"/>
                <w:highlight w:val="none"/>
              </w:rPr>
            </w:pPr>
          </w:p>
        </w:tc>
        <w:tc>
          <w:tcPr>
            <w:tcW w:w="797" w:type="dxa"/>
            <w:vAlign w:val="center"/>
          </w:tcPr>
          <w:p>
            <w:pPr>
              <w:spacing w:line="600" w:lineRule="exact"/>
              <w:jc w:val="center"/>
              <w:rPr>
                <w:rFonts w:ascii="仿宋" w:hAnsi="仿宋" w:eastAsia="仿宋" w:cs="仿宋_GB2312"/>
                <w:bCs/>
                <w:color w:val="auto"/>
                <w:kern w:val="0"/>
                <w:sz w:val="18"/>
                <w:szCs w:val="18"/>
                <w:highlight w:val="none"/>
              </w:rPr>
            </w:pPr>
          </w:p>
        </w:tc>
        <w:tc>
          <w:tcPr>
            <w:tcW w:w="813" w:type="dxa"/>
            <w:vAlign w:val="center"/>
          </w:tcPr>
          <w:p>
            <w:pPr>
              <w:spacing w:line="600" w:lineRule="exact"/>
              <w:jc w:val="center"/>
              <w:rPr>
                <w:rFonts w:ascii="仿宋" w:hAnsi="仿宋" w:eastAsia="仿宋" w:cs="仿宋_GB2312"/>
                <w:bCs/>
                <w:color w:val="auto"/>
                <w:kern w:val="0"/>
                <w:sz w:val="18"/>
                <w:szCs w:val="18"/>
                <w:highlight w:val="none"/>
              </w:rPr>
            </w:pPr>
          </w:p>
        </w:tc>
        <w:tc>
          <w:tcPr>
            <w:tcW w:w="791" w:type="dxa"/>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vAlign w:val="center"/>
          </w:tcPr>
          <w:p>
            <w:pPr>
              <w:spacing w:line="600" w:lineRule="exact"/>
              <w:jc w:val="center"/>
              <w:rPr>
                <w:rFonts w:ascii="仿宋" w:hAnsi="仿宋" w:eastAsia="仿宋" w:cs="仿宋_GB2312"/>
                <w:bCs/>
                <w:color w:val="auto"/>
                <w:kern w:val="0"/>
                <w:sz w:val="18"/>
                <w:szCs w:val="18"/>
                <w:highlight w:val="none"/>
              </w:rPr>
            </w:pPr>
          </w:p>
        </w:tc>
      </w:tr>
    </w:tbl>
    <w:p>
      <w:pPr>
        <w:widowControl/>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备注：托克逊县阿乐惠镇卫生院2024年无上年结转结余预算的支出，结转结余预算支出情况表为空表。</w:t>
      </w:r>
    </w:p>
    <w:p>
      <w:pPr>
        <w:widowControl/>
        <w:jc w:val="left"/>
        <w:outlineLvl w:val="1"/>
        <w:rPr>
          <w:rFonts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第三部分2024年单位预算情况说明</w:t>
      </w:r>
    </w:p>
    <w:p>
      <w:pPr>
        <w:spacing w:line="560" w:lineRule="exact"/>
        <w:jc w:val="center"/>
        <w:rPr>
          <w:rFonts w:ascii="楷体_GB2312" w:hAnsi="楷体_GB2312" w:eastAsia="楷体_GB2312"/>
          <w:color w:val="auto"/>
          <w:kern w:val="0"/>
          <w:sz w:val="32"/>
          <w:szCs w:val="32"/>
          <w:highlight w:val="none"/>
        </w:rPr>
      </w:pP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关于托克逊县阿乐惠镇卫生院单位2024年收支预算情况的总体说明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按照全口径预算的原则，托克逊县阿乐惠镇卫生院单位2024年所有收入和支出均纳入单位预算管理。收支总预算343.26万元。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支出预算包括：社会保障和就业支出、卫生健康支出、住房保障支出。</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二、关于托克逊县阿乐惠镇卫生院单位2024年收入预算情况说明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托克逊县阿乐惠镇卫生院单位收入预算343.26万元，其中：</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一般公共预算204.47万元，占59.57%，比上年预算增加12.50万元，增长6.51%，主要原因是事业人员工资调增，社保公积金基数标准提高，导致预算比上年有所增加</w:t>
      </w:r>
      <w:r>
        <w:rPr>
          <w:rFonts w:hint="eastAsia" w:ascii="仿宋_GB2312" w:hAnsi="宋体" w:eastAsia="仿宋_GB2312" w:cs="宋体"/>
          <w:color w:val="auto"/>
          <w:kern w:val="0"/>
          <w:sz w:val="32"/>
          <w:szCs w:val="32"/>
          <w:highlight w:val="none"/>
          <w:lang w:eastAsia="zh-CN"/>
        </w:rPr>
        <w:t>。</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上级一般公共预算安排的转移支付3.20万元，占0.93%，比上年预算增加3.20万元，增长100.00%，主要原因是</w:t>
      </w:r>
      <w:r>
        <w:rPr>
          <w:rFonts w:hint="eastAsia" w:ascii="仿宋_GB2312" w:hAnsi="宋体" w:eastAsia="仿宋_GB2312" w:cs="宋体"/>
          <w:color w:val="auto"/>
          <w:kern w:val="0"/>
          <w:sz w:val="32"/>
          <w:szCs w:val="32"/>
          <w:highlight w:val="none"/>
          <w:lang w:val="en-US" w:eastAsia="zh-CN"/>
        </w:rPr>
        <w:t>新增2024年自治区提前下达基本公共卫生服务补助资金、2024年中央重大传染病防控经费</w:t>
      </w:r>
      <w:r>
        <w:rPr>
          <w:rFonts w:hint="eastAsia" w:ascii="仿宋_GB2312" w:hAnsi="宋体" w:eastAsia="仿宋_GB2312" w:cs="宋体"/>
          <w:color w:val="auto"/>
          <w:kern w:val="0"/>
          <w:sz w:val="32"/>
          <w:szCs w:val="32"/>
          <w:highlight w:val="none"/>
        </w:rPr>
        <w:t>，因此今年预算比上年增长</w:t>
      </w:r>
      <w:r>
        <w:rPr>
          <w:rFonts w:hint="eastAsia" w:ascii="仿宋_GB2312" w:hAnsi="宋体" w:eastAsia="仿宋_GB2312" w:cs="宋体"/>
          <w:color w:val="auto"/>
          <w:kern w:val="0"/>
          <w:sz w:val="32"/>
          <w:szCs w:val="32"/>
          <w:highlight w:val="none"/>
          <w:lang w:eastAsia="zh-CN"/>
        </w:rPr>
        <w:t>。</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单位资金135.59万元，占39.50%，比上年预算增加75.25万元，增长124.71%，主要原因是2024年年初开展康复科治疗工作，医疗收入增加，因此单位资金比上年预算有所增加</w:t>
      </w:r>
      <w:r>
        <w:rPr>
          <w:rFonts w:hint="eastAsia" w:ascii="仿宋_GB2312" w:hAnsi="宋体" w:eastAsia="仿宋_GB2312" w:cs="宋体"/>
          <w:color w:val="auto"/>
          <w:kern w:val="0"/>
          <w:sz w:val="32"/>
          <w:szCs w:val="32"/>
          <w:highlight w:val="none"/>
          <w:lang w:eastAsia="zh-CN"/>
        </w:rPr>
        <w:t>。</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三、关于托克逊县阿乐惠镇卫生院单位2024年支出预算情况说明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托克逊县阿乐惠镇卫生院单位2024年支出预算343.26万元，其中：</w:t>
      </w:r>
    </w:p>
    <w:p>
      <w:pPr>
        <w:spacing w:line="560" w:lineRule="exact"/>
        <w:ind w:firstLine="640" w:firstLineChars="200"/>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基本支出187.47万元，占54.61%，比上年预算减少4.50万元，下降2.34%，主要原因是2024年医疗制度改革，退休人员医疗未做预算，预算数较上年度减少。</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项目支出155.79万元，占45.39%，比上年预算增加95.45万元，增长158.19%，主要原因是</w:t>
      </w:r>
      <w:r>
        <w:rPr>
          <w:rFonts w:hint="eastAsia" w:ascii="仿宋_GB2312" w:hAnsi="宋体" w:eastAsia="仿宋_GB2312" w:cs="宋体"/>
          <w:color w:val="auto"/>
          <w:kern w:val="0"/>
          <w:sz w:val="32"/>
          <w:szCs w:val="32"/>
          <w:highlight w:val="none"/>
          <w:lang w:val="en-US" w:eastAsia="zh-CN"/>
        </w:rPr>
        <w:t>新增2024年县级基本药物制度补助资金（县级配套）、2024年基本公共卫生服务县级配套补助资金（县级配套）、2024年自治区提前下达基本公共卫生服务补助资金、2024年中央重大传染病防控经费、2024年全民健康体检县级补助资金（县级配套）</w:t>
      </w:r>
      <w:r>
        <w:rPr>
          <w:rFonts w:hint="eastAsia" w:ascii="仿宋_GB2312" w:hAnsi="宋体" w:eastAsia="仿宋_GB2312" w:cs="宋体"/>
          <w:color w:val="auto"/>
          <w:kern w:val="0"/>
          <w:sz w:val="32"/>
          <w:szCs w:val="32"/>
          <w:highlight w:val="none"/>
        </w:rPr>
        <w:t>，导致项目支出预算比去年有所增加。</w:t>
      </w:r>
    </w:p>
    <w:p>
      <w:pPr>
        <w:spacing w:line="56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四、关于托克逊县阿乐惠镇卫生院单位2024年财政拨款收支预算情况的总体说明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2024年财政拨款收支总预算207.67万元。</w:t>
      </w:r>
    </w:p>
    <w:p>
      <w:pPr>
        <w:spacing w:line="560" w:lineRule="exact"/>
        <w:ind w:firstLine="616" w:firstLineChars="200"/>
        <w:rPr>
          <w:rFonts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收入预算包括：一般公共预算拨款207.67万元。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社会保障和就业支出20.39万元，主要用于单位人员社保缴费支出;卫生健康支出170.76万元，主要用于保障单位正常运行的人员经费、公用经费支出及单位人员医疗保险缴费支出;住房保障支出16.52万元，主要用于单位人员住房公积金缴费支出。</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五、关于托克逊县阿乐惠镇卫生院单位2024年一般公共预算当年拨款情况说明</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托克逊县阿乐惠镇卫生院单位2024年一般公共预算拨款合计207.67万元，其中：</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基本支出187.47万元，比上年预算减少4.50万元，下降2.34%。主要原因是：2024年医疗制度改革，退休人员医疗未做预算，导致基本支出预算比上年有所减少。</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项目支出20.20万元，比上年预算增加20.20万元，增长100.00%。主要原因是：</w:t>
      </w:r>
      <w:r>
        <w:rPr>
          <w:rFonts w:hint="eastAsia" w:ascii="仿宋_GB2312" w:eastAsia="仿宋_GB2312"/>
          <w:color w:val="auto"/>
          <w:sz w:val="32"/>
          <w:szCs w:val="32"/>
          <w:highlight w:val="none"/>
          <w:lang w:val="en-US" w:eastAsia="zh-CN"/>
        </w:rPr>
        <w:t>新增</w:t>
      </w:r>
      <w:r>
        <w:rPr>
          <w:rFonts w:hint="eastAsia" w:ascii="仿宋_GB2312" w:eastAsia="仿宋_GB2312"/>
          <w:color w:val="auto"/>
          <w:sz w:val="32"/>
          <w:szCs w:val="32"/>
          <w:highlight w:val="none"/>
        </w:rPr>
        <w:t>2024年县级基本药物制度补助资金（县级配套）、2024年基本公共卫生服务县级配套补助资金（县级配套）、2024年自治区提前下达基本公共卫生服务补助资金、2024年中央重大传染病防控经费、2024年全民健康体检县级补助资金（县级配套），导致项目支出预算比上年有所增加。</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1.社会保障和就业支出（类）20.39万元，占9.82%。</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2.卫生健康支出（类）170.76万元，占82.23%。</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3.住房保障支出（类）16.52万元，占7.95%。</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社会保障和就业支出（类）行政事业单位养老支出（款）机关事业单位基本养老保险缴费支出（项）：2024年预算数为20.39万元，比上年预算增加0.26万元，增长1.29%，主要原因是：2024年人员工资调增，基本养老保险缴费基数标准提高，导致预算比上年有所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卫生健康支出（类）基层医疗卫生机构（款）乡镇卫生院（项）：2024年预算数为141.89万元，比上年预算增加4.89万元，增长3.57%，主要原因是：2024年事业人员工资调增，社保公积金缴费基数提高，导致预算比上年有所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3.卫生健康支出（类）基层医疗卫生机构（款）其他基层医疗卫生机构支出（项）：2024年预算数为2.00万元，比上年预算增加2.00万元，增长100.00%，主要原因是：</w:t>
      </w:r>
      <w:r>
        <w:rPr>
          <w:rFonts w:hint="eastAsia" w:ascii="仿宋_GB2312" w:hAnsi="宋体" w:eastAsia="仿宋_GB2312" w:cs="宋体"/>
          <w:color w:val="auto"/>
          <w:kern w:val="0"/>
          <w:sz w:val="32"/>
          <w:szCs w:val="32"/>
          <w:highlight w:val="none"/>
          <w:lang w:val="en-US" w:eastAsia="zh-CN"/>
        </w:rPr>
        <w:t>新增2024年县级基本药物制度补助资金</w:t>
      </w:r>
      <w:r>
        <w:rPr>
          <w:rFonts w:hint="eastAsia" w:ascii="仿宋_GB2312" w:hAnsi="宋体" w:eastAsia="仿宋_GB2312" w:cs="宋体"/>
          <w:color w:val="auto"/>
          <w:kern w:val="0"/>
          <w:sz w:val="32"/>
          <w:szCs w:val="32"/>
          <w:highlight w:val="none"/>
        </w:rPr>
        <w:t>，导致预算比上年增加。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4.卫生健康支出（类）公共卫生（款）基本公共卫生服务（项）：2024年预算数为8.00万元，比上年预算增加8.00万元，增长100.00%，主要原因是：</w:t>
      </w:r>
      <w:r>
        <w:rPr>
          <w:rFonts w:hint="eastAsia" w:ascii="仿宋_GB2312" w:hAnsi="宋体" w:eastAsia="仿宋_GB2312" w:cs="宋体"/>
          <w:color w:val="auto"/>
          <w:kern w:val="0"/>
          <w:sz w:val="32"/>
          <w:szCs w:val="32"/>
          <w:highlight w:val="none"/>
          <w:lang w:val="en-US" w:eastAsia="zh-CN"/>
        </w:rPr>
        <w:t>新增2024年基本公共卫生服务县级配套补助资金（县级配套）、2024年自治区提前下达基本公共卫生服务补助资金、</w:t>
      </w:r>
      <w:r>
        <w:rPr>
          <w:rFonts w:hint="eastAsia" w:ascii="仿宋_GB2312" w:hAnsi="宋体" w:eastAsia="仿宋_GB2312" w:cs="宋体"/>
          <w:color w:val="auto"/>
          <w:kern w:val="0"/>
          <w:sz w:val="32"/>
          <w:szCs w:val="32"/>
          <w:highlight w:val="none"/>
        </w:rPr>
        <w:t>导致预算比上年增加。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5.卫生健康支出（类）公共卫生（款）重大公共卫生服务（项）：2024年预算数为0.20万元，比上年预算增加0.20万元，增长100.00%，主要原因是：</w:t>
      </w:r>
      <w:r>
        <w:rPr>
          <w:rFonts w:hint="eastAsia" w:ascii="仿宋_GB2312" w:hAnsi="宋体" w:eastAsia="仿宋_GB2312" w:cs="宋体"/>
          <w:color w:val="auto"/>
          <w:kern w:val="0"/>
          <w:sz w:val="32"/>
          <w:szCs w:val="32"/>
          <w:highlight w:val="none"/>
          <w:lang w:val="en-US" w:eastAsia="zh-CN"/>
        </w:rPr>
        <w:t>新增2024年中央重大传染病防控经费</w:t>
      </w:r>
      <w:r>
        <w:rPr>
          <w:rFonts w:hint="eastAsia" w:ascii="仿宋_GB2312" w:hAnsi="宋体" w:eastAsia="仿宋_GB2312" w:cs="宋体"/>
          <w:color w:val="auto"/>
          <w:kern w:val="0"/>
          <w:sz w:val="32"/>
          <w:szCs w:val="32"/>
          <w:highlight w:val="none"/>
        </w:rPr>
        <w:t>，导致预算比上年增加。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6.卫生健康支出（类）公共卫生（款）其他公共卫生支出（项）：2024年预算数为10.00万元，比上年预算增加10.00万元，增长100.00%，主要原因是：</w:t>
      </w:r>
      <w:r>
        <w:rPr>
          <w:rFonts w:hint="eastAsia" w:ascii="仿宋_GB2312" w:hAnsi="宋体" w:eastAsia="仿宋_GB2312" w:cs="宋体"/>
          <w:color w:val="auto"/>
          <w:kern w:val="0"/>
          <w:sz w:val="32"/>
          <w:szCs w:val="32"/>
          <w:highlight w:val="none"/>
          <w:lang w:val="en-US" w:eastAsia="zh-CN"/>
        </w:rPr>
        <w:t>新增2024年全民健康体检县级补助资金</w:t>
      </w:r>
      <w:r>
        <w:rPr>
          <w:rFonts w:hint="eastAsia" w:ascii="仿宋_GB2312" w:hAnsi="宋体" w:eastAsia="仿宋_GB2312" w:cs="宋体"/>
          <w:color w:val="auto"/>
          <w:kern w:val="0"/>
          <w:sz w:val="32"/>
          <w:szCs w:val="32"/>
          <w:highlight w:val="none"/>
        </w:rPr>
        <w:t>，导致预算比上年增加。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卫生健康支出（类）行政事业单位医疗（款）事业单位医疗（项）：2024年预算数为8.67万元，比上年预算增加0.11万元，增长1.29%，主要原因是：2024年人员工资调增，基本医疗保险缴费基数标准提高，导致预算比上年有所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住房保障支出（类）住房改革支出（款）住房公积金（项）：2024年预算数为16.52万元，比上年预算增加0.31万元，增长1.91%，主要原因是：2024年人员工资调增，住房公积金基数标准提高，导致预算比上年有所增加。</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社会保障和就业支出（类）行政事业单位养老支出（款）机关事业单位职业年金缴费支出（项）：2024年预算数为0.00万元，比上年预算减少10.07万元，下降100.00%，主要原因是：本年度职业年金预算由政府（财政）预算代列，未直接体现在部门预算里，导致本单位该项预算减少。</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六、关于托克逊县阿乐惠镇卫生院单位2024年一般公共预算基本支出情况说明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托克逊县阿乐惠镇卫生院单位2024年一般公共预算基本支出187.47万元，其中：</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人员经费184.99万元，主要包括：基本工资、津贴补贴、奖金、绩效工资、机关事业单位基本养老保险缴费、职工基本医疗保险缴费、其他社会保障缴费、住房公积金。</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公用经费2.48万元，主要包括：工会经费。</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七、关于托克逊县阿乐惠镇卫生院单位2024年一般公共预算项目支出情况说明</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（一）项目名称：2024年县级基本药物制度补助资金（县级配套）</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设立的政策依据：《关于认真做好国家基本药物制度实施工作的通知》(新政办发【2010】191号)和《关于印发《自治区基层医疗卫生机构运行补偿办法》的通知》(新财社【2010】64号)文件</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预算安排规模：2.00万元</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项目承担单位：托克逊县阿乐惠镇卫生院</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资金分配情况：专用材料费2</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（二）项目名称：2024年基本公共卫生服务县级配套补助资金（县级配套）</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设立的政策依据：《关于做好2023年基本公共卫生服务工作的通知》（新卫基层卫生函[2023]32号）文件</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预算安排规模：5.00万元</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项目承担单位：托克逊县阿乐惠镇卫生院</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资金分配情况：邮电费0.5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印刷费1</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办公费3</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电费0.5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（三）项目名称：吐市财社[2023]97号、2024年自治区提前下达基本公共卫生服务补助资金</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设立的政策依据：《关于做好2023年基本公共卫生服务工作的通知》（新卫基层卫生函[2023]32号）文件</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预算安排规模：3.00万元</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项目承担单位：托克逊县阿乐惠镇卫生院</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资金分配情况：邮电费0.5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电费0.5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办公费1</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印刷费1</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（四）项目名称：吐市财社[2023]80号，2024年中央重大传染病防控经费（135.34万）</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设立的政策依据：《关于2024年提前下达重大传染病项目实施方案》（新卫疾控函[2024]5号）文件</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预算安排规模：0.20万元</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项目承担单位：托克逊县阿乐惠镇卫生院</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资金分配情况：印刷费0.20万</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（五）项目名称：2024年全民健康体检县级补助资金（县级配套）</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设立的政策依据：《关于做好2023年全民健康体检工作的通知》（新卫基层卫生发[2023]1号)文件</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预算安排规模：10.00万元</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项目承担单位：托克逊县阿乐惠镇卫生院</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资金分配情况：专用材料费3.2</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办公费1.01万，其他商品和服务支出0.5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其他交通费0.3</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印刷费1.9</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万</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劳务费3.06万</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八、关于托克逊县阿乐惠镇卫生院单位2024年政府性基金预算拨款情况说明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托克逊县阿乐惠镇卫生院2024年没有使用政府性基金预算拨款安排的支出，政府性基金预算支出情况表为空表。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九、关于托克逊县阿乐惠镇卫生院单位2024年国有资本经营预算拨款情况说明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托克逊县阿乐惠镇卫生院2024年没有使用国有资本经营预算拨款安排的支出，国有资本经营预算支出情况表为空表。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十、关于托克逊县阿乐惠镇卫生院单位2024年财政拨款“三公”经费预算情况说明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托克逊县阿乐惠镇卫生院单位2024年财政拨款“三公”经费数为0.00万元，其中：因公出国（境）费0.00万元，公务用车购置费0.00万元，公务用车运行费0.00万元，公务接待费0.00万元。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十一、关于托克逊县阿乐惠镇卫生院单位2024年上年结转结余预算情况说明</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托克逊县阿乐惠镇卫生院单位2024年无上年结转结余预算的支出，结转结余预算支出情况表为空表。</w:t>
      </w:r>
    </w:p>
    <w:p>
      <w:pPr>
        <w:spacing w:line="56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托克逊县阿乐惠镇卫生院单位2024年的事业单位运行经费财政拨款预算2.48万元，比上年预算增加2.48万元，增长100.00%。主要原因是</w:t>
      </w:r>
      <w:r>
        <w:rPr>
          <w:rFonts w:hint="eastAsia" w:ascii="仿宋_GB2312" w:hAnsi="宋体" w:eastAsia="仿宋_GB2312" w:cs="宋体"/>
          <w:color w:val="auto"/>
          <w:kern w:val="0"/>
          <w:sz w:val="32"/>
          <w:szCs w:val="32"/>
          <w:highlight w:val="none"/>
          <w:lang w:val="en-US" w:eastAsia="zh-CN"/>
        </w:rPr>
        <w:t>工会经费较上年增加</w:t>
      </w:r>
      <w:r>
        <w:rPr>
          <w:rFonts w:hint="eastAsia" w:ascii="仿宋_GB2312" w:hAnsi="宋体" w:eastAsia="仿宋_GB2312" w:cs="宋体"/>
          <w:color w:val="auto"/>
          <w:kern w:val="0"/>
          <w:sz w:val="32"/>
          <w:szCs w:val="32"/>
          <w:highlight w:val="none"/>
        </w:rPr>
        <w:t>，因此比上年预算增加。</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2024年，托克逊县阿乐惠镇卫生院单位政府采购预算51.68万元，其中：政府采购货物预算30.09万元，政府采购工程预算0</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万元，政府采购服务预算21.59万元。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2024年，托克逊县阿乐惠镇卫生院单位面向中小企业预留政府采购项目预算金额0</w:t>
      </w:r>
      <w:r>
        <w:rPr>
          <w:rFonts w:hint="eastAsia" w:ascii="仿宋_GB2312" w:hAnsi="仿宋_GB2312" w:eastAsia="仿宋_GB2312"/>
          <w:color w:val="auto"/>
          <w:sz w:val="32"/>
          <w:highlight w:val="none"/>
          <w:lang w:val="en-US" w:eastAsia="zh-CN"/>
        </w:rPr>
        <w:t>.00</w:t>
      </w:r>
      <w:r>
        <w:rPr>
          <w:rFonts w:hint="eastAsia" w:ascii="仿宋_GB2312" w:hAnsi="仿宋_GB2312" w:eastAsia="仿宋_GB2312"/>
          <w:color w:val="auto"/>
          <w:sz w:val="32"/>
          <w:highlight w:val="none"/>
        </w:rPr>
        <w:t>万元，小微企业预留政府采购项目预算金额0</w:t>
      </w:r>
      <w:r>
        <w:rPr>
          <w:rFonts w:hint="eastAsia" w:ascii="仿宋_GB2312" w:hAnsi="仿宋_GB2312" w:eastAsia="仿宋_GB2312"/>
          <w:color w:val="auto"/>
          <w:sz w:val="32"/>
          <w:highlight w:val="none"/>
          <w:lang w:val="en-US" w:eastAsia="zh-CN"/>
        </w:rPr>
        <w:t>.00</w:t>
      </w:r>
      <w:r>
        <w:rPr>
          <w:rFonts w:hint="eastAsia" w:ascii="仿宋_GB2312" w:hAnsi="仿宋_GB2312" w:eastAsia="仿宋_GB2312"/>
          <w:color w:val="auto"/>
          <w:sz w:val="32"/>
          <w:highlight w:val="none"/>
        </w:rPr>
        <w:t>万元。</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截至2023年底，托克逊县阿乐惠镇卫生院单位及下属各预算单位占用使用国有资产总体情况为：</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1.房屋595平方米，价值145万元。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2.车辆2辆，价值29</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599592万元；其中：一般公务用车0辆，价值0万元；执法执勤用车0辆，价值0万元；其他车辆2辆，价值29</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599592万元。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3.办公家具价值0万元。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4.其他资产价值0万元。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单位价值50万元以上大型设备0台，单位价值100万元以上大型设备0台。</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pPr>
        <w:spacing w:line="56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2024年，本单位预算绩效管理整体预算绩效目标1个，涉及金额343.26万元；当年财政拨款项目</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个，涉及预算金额</w:t>
      </w:r>
      <w:r>
        <w:rPr>
          <w:rFonts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rPr>
        <w:t>0万元；当年非财政拨款项目1个，涉及预算金额</w:t>
      </w:r>
      <w:r>
        <w:rPr>
          <w:rFonts w:ascii="仿宋_GB2312" w:hAnsi="宋体" w:eastAsia="仿宋_GB2312" w:cs="宋体"/>
          <w:color w:val="auto"/>
          <w:kern w:val="0"/>
          <w:sz w:val="32"/>
          <w:szCs w:val="32"/>
          <w:highlight w:val="none"/>
        </w:rPr>
        <w:t>135.59</w:t>
      </w:r>
      <w:r>
        <w:rPr>
          <w:rFonts w:hint="eastAsia" w:ascii="仿宋_GB2312" w:hAnsi="宋体" w:eastAsia="仿宋_GB2312" w:cs="宋体"/>
          <w:color w:val="auto"/>
          <w:kern w:val="0"/>
          <w:sz w:val="32"/>
          <w:szCs w:val="32"/>
          <w:highlight w:val="none"/>
        </w:rPr>
        <w:t>万元。具体情况见下表：</w:t>
      </w:r>
    </w:p>
    <w:p>
      <w:pPr>
        <w:widowControl/>
        <w:spacing w:line="600" w:lineRule="exact"/>
        <w:rPr>
          <w:rFonts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5"/>
        <w:tblW w:w="10142" w:type="dxa"/>
        <w:jc w:val="center"/>
        <w:tblLayout w:type="autofit"/>
        <w:tblCellMar>
          <w:top w:w="0" w:type="dxa"/>
          <w:left w:w="108" w:type="dxa"/>
          <w:bottom w:w="0" w:type="dxa"/>
          <w:right w:w="108" w:type="dxa"/>
        </w:tblCellMar>
      </w:tblPr>
      <w:tblGrid>
        <w:gridCol w:w="1031"/>
        <w:gridCol w:w="1306"/>
        <w:gridCol w:w="2702"/>
        <w:gridCol w:w="1263"/>
        <w:gridCol w:w="2524"/>
        <w:gridCol w:w="1316"/>
      </w:tblGrid>
      <w:tr>
        <w:tblPrEx>
          <w:tblCellMar>
            <w:top w:w="0" w:type="dxa"/>
            <w:left w:w="108" w:type="dxa"/>
            <w:bottom w:w="0" w:type="dxa"/>
            <w:right w:w="108" w:type="dxa"/>
          </w:tblCellMar>
        </w:tblPrEx>
        <w:trPr>
          <w:trHeight w:val="893" w:hRule="atLeast"/>
          <w:jc w:val="center"/>
        </w:trPr>
        <w:tc>
          <w:tcPr>
            <w:tcW w:w="10142" w:type="dxa"/>
            <w:gridSpan w:val="6"/>
            <w:tcBorders>
              <w:top w:val="nil"/>
              <w:left w:val="nil"/>
              <w:bottom w:val="nil"/>
              <w:right w:val="nil"/>
            </w:tcBorders>
            <w:shd w:val="clear" w:color="auto" w:fill="auto"/>
            <w:vAlign w:val="center"/>
          </w:tcPr>
          <w:p>
            <w:pPr>
              <w:widowControl/>
              <w:jc w:val="center"/>
              <w:rPr>
                <w:rFonts w:ascii="华文中宋" w:hAnsi="华文中宋" w:eastAsia="华文中宋" w:cs="宋体"/>
                <w:b/>
                <w:bCs/>
                <w:color w:val="auto"/>
                <w:kern w:val="0"/>
                <w:sz w:val="40"/>
                <w:szCs w:val="40"/>
                <w:highlight w:val="none"/>
              </w:rPr>
            </w:pPr>
            <w:r>
              <w:rPr>
                <w:rFonts w:hint="eastAsia" w:ascii="仿宋_GB2312" w:hAnsi="宋体" w:eastAsia="仿宋_GB2312" w:cs="仿宋_GB2312"/>
                <w:b/>
                <w:color w:val="auto"/>
                <w:kern w:val="0"/>
                <w:sz w:val="40"/>
                <w:szCs w:val="40"/>
                <w:highlight w:val="none"/>
                <w:lang w:bidi="ar"/>
              </w:rPr>
              <w:t>单位整体绩效目标表</w:t>
            </w:r>
          </w:p>
        </w:tc>
      </w:tr>
      <w:tr>
        <w:tblPrEx>
          <w:tblCellMar>
            <w:top w:w="0" w:type="dxa"/>
            <w:left w:w="108" w:type="dxa"/>
            <w:bottom w:w="0" w:type="dxa"/>
            <w:right w:w="108" w:type="dxa"/>
          </w:tblCellMar>
        </w:tblPrEx>
        <w:trPr>
          <w:trHeight w:val="497" w:hRule="atLeast"/>
          <w:jc w:val="center"/>
        </w:trPr>
        <w:tc>
          <w:tcPr>
            <w:tcW w:w="10142" w:type="dxa"/>
            <w:gridSpan w:val="6"/>
            <w:tcBorders>
              <w:top w:val="nil"/>
              <w:left w:val="nil"/>
              <w:bottom w:val="nil"/>
              <w:right w:val="nil"/>
            </w:tcBorders>
            <w:shd w:val="clear" w:color="auto" w:fill="auto"/>
            <w:vAlign w:val="center"/>
          </w:tcPr>
          <w:p>
            <w:pPr>
              <w:widowControl/>
              <w:jc w:val="center"/>
              <w:rPr>
                <w:rFonts w:ascii="宋体" w:hAnsi="宋体" w:cs="宋体"/>
                <w:b/>
                <w:bCs/>
                <w:color w:val="auto"/>
                <w:kern w:val="0"/>
                <w:sz w:val="24"/>
                <w:highlight w:val="none"/>
              </w:rPr>
            </w:pPr>
            <w:r>
              <w:rPr>
                <w:rFonts w:hint="eastAsia" w:ascii="宋体" w:hAnsi="宋体" w:cs="宋体"/>
                <w:color w:val="auto"/>
                <w:sz w:val="24"/>
                <w:highlight w:val="none"/>
              </w:rPr>
              <w:t>（2024年）</w:t>
            </w:r>
          </w:p>
        </w:tc>
      </w:tr>
      <w:tr>
        <w:tblPrEx>
          <w:tblCellMar>
            <w:top w:w="0" w:type="dxa"/>
            <w:left w:w="108" w:type="dxa"/>
            <w:bottom w:w="0" w:type="dxa"/>
            <w:right w:w="108" w:type="dxa"/>
          </w:tblCellMar>
        </w:tblPrEx>
        <w:trPr>
          <w:trHeight w:val="660" w:hRule="atLeast"/>
          <w:jc w:val="center"/>
        </w:trPr>
        <w:tc>
          <w:tcPr>
            <w:tcW w:w="23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单位名称（盖章）</w:t>
            </w:r>
          </w:p>
        </w:tc>
        <w:tc>
          <w:tcPr>
            <w:tcW w:w="780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托克逊县阿乐惠镇卫生院</w:t>
            </w:r>
          </w:p>
        </w:tc>
      </w:tr>
      <w:tr>
        <w:tblPrEx>
          <w:tblCellMar>
            <w:top w:w="0" w:type="dxa"/>
            <w:left w:w="108" w:type="dxa"/>
            <w:bottom w:w="0" w:type="dxa"/>
            <w:right w:w="108" w:type="dxa"/>
          </w:tblCellMar>
        </w:tblPrEx>
        <w:trPr>
          <w:trHeight w:val="660" w:hRule="atLeast"/>
          <w:jc w:val="center"/>
        </w:trPr>
        <w:tc>
          <w:tcPr>
            <w:tcW w:w="233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39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古丽米热</w:t>
            </w:r>
          </w:p>
        </w:tc>
        <w:tc>
          <w:tcPr>
            <w:tcW w:w="25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20"/>
                <w:szCs w:val="20"/>
                <w:highlight w:val="none"/>
              </w:rPr>
              <w:t>联系电话：</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18309075505</w:t>
            </w:r>
          </w:p>
        </w:tc>
      </w:tr>
      <w:tr>
        <w:tblPrEx>
          <w:tblCellMar>
            <w:top w:w="0" w:type="dxa"/>
            <w:left w:w="108" w:type="dxa"/>
            <w:bottom w:w="0" w:type="dxa"/>
            <w:right w:w="108" w:type="dxa"/>
          </w:tblCellMar>
        </w:tblPrEx>
        <w:trPr>
          <w:trHeight w:val="3768" w:hRule="atLeast"/>
          <w:jc w:val="center"/>
        </w:trPr>
        <w:tc>
          <w:tcPr>
            <w:tcW w:w="23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805"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目标1：继续保障我院开展的工作国家基本公共卫生服务、规范预防接种服务，执行国家免疫规划，及时发现、登记并报告辖区内发现的传染病病例和疑似病例。</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目标2：开展新生儿访视及儿童保健系统管理，进行体格检查和生长发育监测及评价，健康指导，提高孕产妇保健系统管理和产后访视，进行一般体格检查及孕期营养、心理等健康指导。</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目标4：继续保障疾病预防、保健、残疾及功能障碍康复、全民健康教育，全民健康体检、突发公共卫生事件应急处置，精神障碍患者管理，结核病患者管理家庭签约服务等各项工作的开展。</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目标5：健康危害因素监测与干预、健康教育与健康促进；地方病的监测防治，慢性病管理和慢性非传染性疾病的防治与管理。</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目标6：计划重点建设中医馆，推拿、火罐、敷贴、热敷等中医适宜技术。</w:t>
            </w:r>
          </w:p>
        </w:tc>
      </w:tr>
      <w:tr>
        <w:tblPrEx>
          <w:tblCellMar>
            <w:top w:w="0" w:type="dxa"/>
            <w:left w:w="108" w:type="dxa"/>
            <w:bottom w:w="0" w:type="dxa"/>
            <w:right w:w="108" w:type="dxa"/>
          </w:tblCellMar>
        </w:tblPrEx>
        <w:trPr>
          <w:trHeight w:val="621" w:hRule="atLeast"/>
          <w:jc w:val="center"/>
        </w:trPr>
        <w:tc>
          <w:tcPr>
            <w:tcW w:w="23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39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tblPrEx>
          <w:tblCellMar>
            <w:top w:w="0" w:type="dxa"/>
            <w:left w:w="108" w:type="dxa"/>
            <w:bottom w:w="0" w:type="dxa"/>
            <w:right w:w="108" w:type="dxa"/>
          </w:tblCellMar>
        </w:tblPrEx>
        <w:trPr>
          <w:trHeight w:val="455" w:hRule="atLeast"/>
          <w:jc w:val="center"/>
        </w:trPr>
        <w:tc>
          <w:tcPr>
            <w:tcW w:w="23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270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3840"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3.20</w:t>
            </w:r>
          </w:p>
        </w:tc>
      </w:tr>
      <w:tr>
        <w:tblPrEx>
          <w:tblCellMar>
            <w:top w:w="0" w:type="dxa"/>
            <w:left w:w="108" w:type="dxa"/>
            <w:bottom w:w="0" w:type="dxa"/>
            <w:right w:w="108" w:type="dxa"/>
          </w:tblCellMar>
        </w:tblPrEx>
        <w:trPr>
          <w:trHeight w:val="497" w:hRule="atLeast"/>
          <w:jc w:val="center"/>
        </w:trPr>
        <w:tc>
          <w:tcPr>
            <w:tcW w:w="23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2702"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3840"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340.06</w:t>
            </w:r>
          </w:p>
        </w:tc>
      </w:tr>
      <w:tr>
        <w:tblPrEx>
          <w:tblCellMar>
            <w:top w:w="0" w:type="dxa"/>
            <w:left w:w="108" w:type="dxa"/>
            <w:bottom w:w="0" w:type="dxa"/>
            <w:right w:w="108" w:type="dxa"/>
          </w:tblCellMar>
        </w:tblPrEx>
        <w:trPr>
          <w:trHeight w:val="497" w:hRule="atLeast"/>
          <w:jc w:val="center"/>
        </w:trPr>
        <w:tc>
          <w:tcPr>
            <w:tcW w:w="23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27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3840"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tblPrEx>
          <w:tblCellMar>
            <w:top w:w="0" w:type="dxa"/>
            <w:left w:w="108" w:type="dxa"/>
            <w:bottom w:w="0" w:type="dxa"/>
            <w:right w:w="108" w:type="dxa"/>
          </w:tblCellMar>
        </w:tblPrEx>
        <w:trPr>
          <w:trHeight w:val="559" w:hRule="atLeast"/>
          <w:jc w:val="center"/>
        </w:trPr>
        <w:tc>
          <w:tcPr>
            <w:tcW w:w="103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3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27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25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指标设定依据</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tblPrEx>
          <w:tblCellMar>
            <w:top w:w="0" w:type="dxa"/>
            <w:left w:w="108" w:type="dxa"/>
            <w:bottom w:w="0" w:type="dxa"/>
            <w:right w:w="108" w:type="dxa"/>
          </w:tblCellMar>
        </w:tblPrEx>
        <w:trPr>
          <w:trHeight w:val="520" w:hRule="atLeast"/>
          <w:jc w:val="center"/>
        </w:trPr>
        <w:tc>
          <w:tcPr>
            <w:tcW w:w="10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3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7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建立健康档案人数</w:t>
            </w: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≥3800人</w:t>
            </w:r>
          </w:p>
        </w:tc>
        <w:tc>
          <w:tcPr>
            <w:tcW w:w="25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r>
      <w:tr>
        <w:tblPrEx>
          <w:tblCellMar>
            <w:top w:w="0" w:type="dxa"/>
            <w:left w:w="108" w:type="dxa"/>
            <w:bottom w:w="0" w:type="dxa"/>
            <w:right w:w="108" w:type="dxa"/>
          </w:tblCellMar>
        </w:tblPrEx>
        <w:trPr>
          <w:trHeight w:val="497" w:hRule="atLeast"/>
          <w:jc w:val="center"/>
        </w:trPr>
        <w:tc>
          <w:tcPr>
            <w:tcW w:w="103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702"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老年人健康管理人数</w:t>
            </w: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≥47人</w:t>
            </w:r>
          </w:p>
        </w:tc>
        <w:tc>
          <w:tcPr>
            <w:tcW w:w="25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r>
      <w:tr>
        <w:tblPrEx>
          <w:tblCellMar>
            <w:top w:w="0" w:type="dxa"/>
            <w:left w:w="108" w:type="dxa"/>
            <w:bottom w:w="0" w:type="dxa"/>
            <w:right w:w="108" w:type="dxa"/>
          </w:tblCellMar>
        </w:tblPrEx>
        <w:trPr>
          <w:trHeight w:val="660" w:hRule="atLeast"/>
          <w:jc w:val="center"/>
        </w:trPr>
        <w:tc>
          <w:tcPr>
            <w:tcW w:w="103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702"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高血压、糖尿病患者管理人数</w:t>
            </w: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≥10人</w:t>
            </w:r>
          </w:p>
        </w:tc>
        <w:tc>
          <w:tcPr>
            <w:tcW w:w="25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r>
      <w:tr>
        <w:tblPrEx>
          <w:tblCellMar>
            <w:top w:w="0" w:type="dxa"/>
            <w:left w:w="108" w:type="dxa"/>
            <w:bottom w:w="0" w:type="dxa"/>
            <w:right w:w="108" w:type="dxa"/>
          </w:tblCellMar>
        </w:tblPrEx>
        <w:trPr>
          <w:trHeight w:val="660" w:hRule="atLeast"/>
          <w:jc w:val="center"/>
        </w:trPr>
        <w:tc>
          <w:tcPr>
            <w:tcW w:w="103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7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全民健康体检人数</w:t>
            </w: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≥3084人</w:t>
            </w:r>
          </w:p>
        </w:tc>
        <w:tc>
          <w:tcPr>
            <w:tcW w:w="25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r>
        <w:tblPrEx>
          <w:tblCellMar>
            <w:top w:w="0" w:type="dxa"/>
            <w:left w:w="108" w:type="dxa"/>
            <w:bottom w:w="0" w:type="dxa"/>
            <w:right w:w="108" w:type="dxa"/>
          </w:tblCellMar>
        </w:tblPrEx>
        <w:trPr>
          <w:trHeight w:val="497" w:hRule="atLeast"/>
          <w:jc w:val="center"/>
        </w:trPr>
        <w:tc>
          <w:tcPr>
            <w:tcW w:w="103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3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7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镇卫生院基本药物供应品种</w:t>
            </w:r>
          </w:p>
        </w:tc>
        <w:tc>
          <w:tcPr>
            <w:tcW w:w="12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≥110种</w:t>
            </w:r>
          </w:p>
        </w:tc>
        <w:tc>
          <w:tcPr>
            <w:tcW w:w="25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2023年度工作总结及2024年度工作计划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r>
    </w:tbl>
    <w:p>
      <w:pPr>
        <w:jc w:val="center"/>
        <w:rPr>
          <w:rFonts w:ascii="宋体" w:hAnsi="宋体"/>
          <w:color w:val="auto"/>
          <w:sz w:val="18"/>
          <w:szCs w:val="18"/>
          <w:highlight w:val="none"/>
        </w:rPr>
      </w:pPr>
    </w:p>
    <w:p>
      <w:pPr>
        <w:widowControl/>
        <w:jc w:val="both"/>
        <w:rPr>
          <w:rFonts w:ascii="宋体" w:hAnsi="宋体"/>
          <w:color w:val="auto"/>
          <w:sz w:val="18"/>
          <w:szCs w:val="18"/>
          <w:highlight w:val="none"/>
        </w:rPr>
      </w:pPr>
      <w:r>
        <w:rPr>
          <w:rFonts w:ascii="宋体" w:hAnsi="宋体"/>
          <w:color w:val="auto"/>
          <w:sz w:val="18"/>
          <w:szCs w:val="18"/>
          <w:highlight w:val="none"/>
        </w:rPr>
        <w:br w:type="page"/>
      </w:r>
    </w:p>
    <w:tbl>
      <w:tblPr>
        <w:tblStyle w:val="5"/>
        <w:tblW w:w="10595" w:type="dxa"/>
        <w:jc w:val="center"/>
        <w:tblLayout w:type="autofit"/>
        <w:tblCellMar>
          <w:top w:w="0" w:type="dxa"/>
          <w:left w:w="108" w:type="dxa"/>
          <w:bottom w:w="0" w:type="dxa"/>
          <w:right w:w="108" w:type="dxa"/>
        </w:tblCellMar>
      </w:tblPr>
      <w:tblGrid>
        <w:gridCol w:w="976"/>
        <w:gridCol w:w="1446"/>
        <w:gridCol w:w="2404"/>
        <w:gridCol w:w="861"/>
        <w:gridCol w:w="1168"/>
        <w:gridCol w:w="882"/>
        <w:gridCol w:w="864"/>
        <w:gridCol w:w="1130"/>
        <w:gridCol w:w="864"/>
      </w:tblGrid>
      <w:tr>
        <w:tblPrEx>
          <w:tblCellMar>
            <w:top w:w="0" w:type="dxa"/>
            <w:left w:w="108" w:type="dxa"/>
            <w:bottom w:w="0" w:type="dxa"/>
            <w:right w:w="108" w:type="dxa"/>
          </w:tblCellMar>
        </w:tblPrEx>
        <w:trPr>
          <w:trHeight w:val="554" w:hRule="atLeast"/>
          <w:jc w:val="center"/>
        </w:trPr>
        <w:tc>
          <w:tcPr>
            <w:tcW w:w="10595"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12" w:hRule="atLeast"/>
          <w:jc w:val="center"/>
        </w:trPr>
        <w:tc>
          <w:tcPr>
            <w:tcW w:w="10595"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tblPrEx>
          <w:tblCellMar>
            <w:top w:w="0" w:type="dxa"/>
            <w:left w:w="108" w:type="dxa"/>
            <w:bottom w:w="0" w:type="dxa"/>
            <w:right w:w="108" w:type="dxa"/>
          </w:tblCellMar>
        </w:tblPrEx>
        <w:trPr>
          <w:trHeight w:val="435" w:hRule="atLeast"/>
          <w:jc w:val="center"/>
        </w:trPr>
        <w:tc>
          <w:tcPr>
            <w:tcW w:w="24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7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托克逊县阿乐惠镇卫生院</w:t>
            </w:r>
          </w:p>
        </w:tc>
      </w:tr>
      <w:tr>
        <w:tblPrEx>
          <w:tblCellMar>
            <w:top w:w="0" w:type="dxa"/>
            <w:left w:w="108" w:type="dxa"/>
            <w:bottom w:w="0" w:type="dxa"/>
            <w:right w:w="108" w:type="dxa"/>
          </w:tblCellMar>
        </w:tblPrEx>
        <w:trPr>
          <w:trHeight w:val="488" w:hRule="atLeast"/>
          <w:jc w:val="center"/>
        </w:trPr>
        <w:tc>
          <w:tcPr>
            <w:tcW w:w="24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43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2024年基本公共卫生服务县级配套补助资金（县级配套）</w:t>
            </w:r>
          </w:p>
        </w:tc>
        <w:tc>
          <w:tcPr>
            <w:tcW w:w="174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古丽米热</w:t>
            </w:r>
          </w:p>
        </w:tc>
      </w:tr>
      <w:tr>
        <w:tblPrEx>
          <w:tblCellMar>
            <w:top w:w="0" w:type="dxa"/>
            <w:left w:w="108" w:type="dxa"/>
            <w:bottom w:w="0" w:type="dxa"/>
            <w:right w:w="108" w:type="dxa"/>
          </w:tblCellMar>
        </w:tblPrEx>
        <w:trPr>
          <w:trHeight w:val="67" w:hRule="atLeast"/>
          <w:jc w:val="center"/>
        </w:trPr>
        <w:tc>
          <w:tcPr>
            <w:tcW w:w="24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4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w:t>
            </w:r>
            <w:r>
              <w:rPr>
                <w:rFonts w:hint="eastAsia" w:ascii="宋体" w:hAnsi="宋体" w:cs="宋体"/>
                <w:color w:val="auto"/>
                <w:kern w:val="0"/>
                <w:sz w:val="18"/>
                <w:szCs w:val="18"/>
                <w:highlight w:val="none"/>
              </w:rPr>
              <w:t>.00</w:t>
            </w:r>
          </w:p>
        </w:tc>
        <w:tc>
          <w:tcPr>
            <w:tcW w:w="11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w:t>
            </w:r>
            <w:r>
              <w:rPr>
                <w:rFonts w:hint="eastAsia" w:ascii="宋体" w:hAnsi="宋体" w:cs="宋体"/>
                <w:color w:val="auto"/>
                <w:kern w:val="0"/>
                <w:sz w:val="18"/>
                <w:szCs w:val="18"/>
                <w:highlight w:val="none"/>
              </w:rPr>
              <w:t>.00</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tblPrEx>
          <w:tblCellMar>
            <w:top w:w="0" w:type="dxa"/>
            <w:left w:w="108" w:type="dxa"/>
            <w:bottom w:w="0" w:type="dxa"/>
            <w:right w:w="108" w:type="dxa"/>
          </w:tblCellMar>
        </w:tblPrEx>
        <w:trPr>
          <w:trHeight w:val="2616" w:hRule="atLeast"/>
          <w:jc w:val="center"/>
        </w:trPr>
        <w:tc>
          <w:tcPr>
            <w:tcW w:w="24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72"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目标1：建立电子健康档案人数达到3800人，对全县常住人口健康状况实施监控；提高基本公共卫生服务项目均等化水平，规范公共卫生服务行为；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目标2：老年人健康管理人数达到47人，对老年人的健康状况实施监控，保障老年人切身的利益；</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目标3：高血压患者的管理人数达到5人，对患者用药情况和随访记录实施监控，更好的掌握患者的基本信息；</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目标4：糖尿病患者的管理人数达到5人，对患者用药情况全面掌握、定期随访；</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目标5：通过开展不少于2次的健康宣传活动，达到推广健康生活方式和卫生知识，提高公众健康意识和卫生素养的目标。</w:t>
            </w:r>
          </w:p>
        </w:tc>
      </w:tr>
      <w:tr>
        <w:tblPrEx>
          <w:tblCellMar>
            <w:top w:w="0" w:type="dxa"/>
            <w:left w:w="108" w:type="dxa"/>
            <w:bottom w:w="0" w:type="dxa"/>
            <w:right w:w="108" w:type="dxa"/>
          </w:tblCellMar>
        </w:tblPrEx>
        <w:trPr>
          <w:trHeight w:val="451" w:hRule="atLeast"/>
          <w:jc w:val="center"/>
        </w:trPr>
        <w:tc>
          <w:tcPr>
            <w:tcW w:w="9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4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4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1"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446" w:type="dxa"/>
            <w:vMerge w:val="restart"/>
            <w:tcBorders>
              <w:top w:val="nil"/>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404"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建立电子健康档案人数</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≥3800人</w:t>
            </w:r>
          </w:p>
        </w:tc>
        <w:tc>
          <w:tcPr>
            <w:tcW w:w="11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6" w:type="dxa"/>
            <w:vMerge w:val="continue"/>
            <w:tcBorders>
              <w:top w:val="nil"/>
              <w:left w:val="single" w:color="auto" w:sz="4" w:space="0"/>
              <w:bottom w:val="single" w:color="000000" w:sz="4" w:space="0"/>
              <w:right w:val="single" w:color="000000" w:sz="4" w:space="0"/>
            </w:tcBorders>
            <w:vAlign w:val="center"/>
          </w:tcPr>
          <w:p>
            <w:pPr>
              <w:widowControl/>
              <w:jc w:val="center"/>
              <w:rPr>
                <w:rFonts w:ascii="宋体" w:hAnsi="宋体" w:cs="宋体"/>
                <w:color w:val="auto"/>
                <w:kern w:val="0"/>
                <w:sz w:val="18"/>
                <w:szCs w:val="18"/>
                <w:highlight w:val="none"/>
              </w:rPr>
            </w:pPr>
          </w:p>
        </w:tc>
        <w:tc>
          <w:tcPr>
            <w:tcW w:w="2404"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老年人健康管理人数</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≥47人</w:t>
            </w:r>
          </w:p>
        </w:tc>
        <w:tc>
          <w:tcPr>
            <w:tcW w:w="11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6" w:type="dxa"/>
            <w:vMerge w:val="continue"/>
            <w:tcBorders>
              <w:top w:val="nil"/>
              <w:left w:val="single" w:color="auto" w:sz="4" w:space="0"/>
              <w:bottom w:val="single" w:color="000000" w:sz="4" w:space="0"/>
              <w:right w:val="single" w:color="000000" w:sz="4" w:space="0"/>
            </w:tcBorders>
            <w:vAlign w:val="center"/>
          </w:tcPr>
          <w:p>
            <w:pPr>
              <w:widowControl/>
              <w:jc w:val="center"/>
              <w:rPr>
                <w:rFonts w:ascii="宋体" w:hAnsi="宋体" w:cs="宋体"/>
                <w:color w:val="auto"/>
                <w:kern w:val="0"/>
                <w:sz w:val="18"/>
                <w:szCs w:val="18"/>
                <w:highlight w:val="none"/>
              </w:rPr>
            </w:pPr>
          </w:p>
        </w:tc>
        <w:tc>
          <w:tcPr>
            <w:tcW w:w="2404"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高血压患者管理人数</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≥5人</w:t>
            </w:r>
          </w:p>
        </w:tc>
        <w:tc>
          <w:tcPr>
            <w:tcW w:w="11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6" w:type="dxa"/>
            <w:vMerge w:val="continue"/>
            <w:tcBorders>
              <w:top w:val="nil"/>
              <w:left w:val="single" w:color="auto" w:sz="4" w:space="0"/>
              <w:bottom w:val="single" w:color="000000" w:sz="4" w:space="0"/>
              <w:right w:val="single" w:color="000000" w:sz="4" w:space="0"/>
            </w:tcBorders>
            <w:vAlign w:val="center"/>
          </w:tcPr>
          <w:p>
            <w:pPr>
              <w:widowControl/>
              <w:jc w:val="center"/>
              <w:rPr>
                <w:rFonts w:ascii="宋体" w:hAnsi="宋体" w:cs="宋体"/>
                <w:color w:val="auto"/>
                <w:kern w:val="0"/>
                <w:sz w:val="18"/>
                <w:szCs w:val="18"/>
                <w:highlight w:val="none"/>
              </w:rPr>
            </w:pPr>
          </w:p>
        </w:tc>
        <w:tc>
          <w:tcPr>
            <w:tcW w:w="2404"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糖尿病患者管理人数</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≥5人</w:t>
            </w:r>
          </w:p>
        </w:tc>
        <w:tc>
          <w:tcPr>
            <w:tcW w:w="11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16"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6" w:type="dxa"/>
            <w:vMerge w:val="continue"/>
            <w:tcBorders>
              <w:top w:val="nil"/>
              <w:left w:val="single" w:color="auto" w:sz="4" w:space="0"/>
              <w:bottom w:val="single" w:color="000000" w:sz="4" w:space="0"/>
              <w:right w:val="single" w:color="000000" w:sz="4" w:space="0"/>
            </w:tcBorders>
            <w:vAlign w:val="center"/>
          </w:tcPr>
          <w:p>
            <w:pPr>
              <w:widowControl/>
              <w:jc w:val="center"/>
              <w:rPr>
                <w:rFonts w:ascii="宋体" w:hAnsi="宋体" w:cs="宋体"/>
                <w:color w:val="auto"/>
                <w:kern w:val="0"/>
                <w:sz w:val="18"/>
                <w:szCs w:val="18"/>
                <w:highlight w:val="none"/>
              </w:rPr>
            </w:pPr>
          </w:p>
        </w:tc>
        <w:tc>
          <w:tcPr>
            <w:tcW w:w="2404"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举办宣传活动次数</w:t>
            </w:r>
          </w:p>
        </w:tc>
        <w:tc>
          <w:tcPr>
            <w:tcW w:w="8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≥2次</w:t>
            </w:r>
          </w:p>
        </w:tc>
        <w:tc>
          <w:tcPr>
            <w:tcW w:w="116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6"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404"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老年人健康规范管理率</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6"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2404"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电子健康档案建档率</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≥99.77%</w:t>
            </w:r>
          </w:p>
        </w:tc>
        <w:tc>
          <w:tcPr>
            <w:tcW w:w="11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6"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2404"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高血压患者规范管理率</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6"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2404" w:type="dxa"/>
            <w:tcBorders>
              <w:top w:val="nil"/>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糖尿病患者规范管理率</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40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年度工作计划完成及时率</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1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1" w:hRule="atLeast"/>
          <w:jc w:val="center"/>
        </w:trPr>
        <w:tc>
          <w:tcPr>
            <w:tcW w:w="976"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446"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40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基本公卫办公业务费支出</w:t>
            </w:r>
          </w:p>
        </w:tc>
        <w:tc>
          <w:tcPr>
            <w:tcW w:w="8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≤6万元</w:t>
            </w:r>
          </w:p>
        </w:tc>
        <w:tc>
          <w:tcPr>
            <w:tcW w:w="116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3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51"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240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宣传活动费支出</w:t>
            </w:r>
          </w:p>
        </w:tc>
        <w:tc>
          <w:tcPr>
            <w:tcW w:w="8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≤2万元</w:t>
            </w:r>
          </w:p>
        </w:tc>
        <w:tc>
          <w:tcPr>
            <w:tcW w:w="116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3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5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4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4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居民健康保健意识知晓率</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1" w:hRule="atLeast"/>
          <w:jc w:val="center"/>
        </w:trPr>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4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24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城乡居民公共卫生服务差距</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不断缩小</w:t>
            </w:r>
          </w:p>
        </w:tc>
        <w:tc>
          <w:tcPr>
            <w:tcW w:w="11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1"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44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404" w:type="dxa"/>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辖区受益群众满意度</w:t>
            </w:r>
          </w:p>
        </w:tc>
        <w:tc>
          <w:tcPr>
            <w:tcW w:w="86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8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86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widowControl/>
        <w:jc w:val="center"/>
        <w:rPr>
          <w:rFonts w:ascii="宋体" w:hAnsi="宋体"/>
          <w:color w:val="auto"/>
          <w:sz w:val="18"/>
          <w:szCs w:val="18"/>
          <w:highlight w:val="none"/>
        </w:rPr>
      </w:pPr>
      <w:r>
        <w:rPr>
          <w:rFonts w:ascii="宋体" w:hAnsi="宋体"/>
          <w:color w:val="auto"/>
          <w:sz w:val="18"/>
          <w:szCs w:val="18"/>
          <w:highlight w:val="none"/>
        </w:rPr>
        <w:br w:type="page"/>
      </w:r>
    </w:p>
    <w:tbl>
      <w:tblPr>
        <w:tblStyle w:val="5"/>
        <w:tblW w:w="10580" w:type="dxa"/>
        <w:jc w:val="center"/>
        <w:tblLayout w:type="autofit"/>
        <w:tblCellMar>
          <w:top w:w="0" w:type="dxa"/>
          <w:left w:w="108" w:type="dxa"/>
          <w:bottom w:w="0" w:type="dxa"/>
          <w:right w:w="108" w:type="dxa"/>
        </w:tblCellMar>
      </w:tblPr>
      <w:tblGrid>
        <w:gridCol w:w="960"/>
        <w:gridCol w:w="1421"/>
        <w:gridCol w:w="2363"/>
        <w:gridCol w:w="1144"/>
        <w:gridCol w:w="1016"/>
        <w:gridCol w:w="867"/>
        <w:gridCol w:w="850"/>
        <w:gridCol w:w="1021"/>
        <w:gridCol w:w="938"/>
      </w:tblGrid>
      <w:tr>
        <w:tblPrEx>
          <w:tblCellMar>
            <w:top w:w="0" w:type="dxa"/>
            <w:left w:w="108" w:type="dxa"/>
            <w:bottom w:w="0" w:type="dxa"/>
            <w:right w:w="108" w:type="dxa"/>
          </w:tblCellMar>
        </w:tblPrEx>
        <w:trPr>
          <w:trHeight w:val="626" w:hRule="atLeast"/>
          <w:jc w:val="center"/>
        </w:trPr>
        <w:tc>
          <w:tcPr>
            <w:tcW w:w="1058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53" w:hRule="atLeast"/>
          <w:jc w:val="center"/>
        </w:trPr>
        <w:tc>
          <w:tcPr>
            <w:tcW w:w="1058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tblPrEx>
          <w:tblCellMar>
            <w:top w:w="0" w:type="dxa"/>
            <w:left w:w="108" w:type="dxa"/>
            <w:bottom w:w="0" w:type="dxa"/>
            <w:right w:w="108" w:type="dxa"/>
          </w:tblCellMar>
        </w:tblPrEx>
        <w:trPr>
          <w:trHeight w:val="493" w:hRule="atLeast"/>
          <w:jc w:val="center"/>
        </w:trPr>
        <w:tc>
          <w:tcPr>
            <w:tcW w:w="23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9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托克逊县阿乐惠镇卫生院</w:t>
            </w:r>
          </w:p>
        </w:tc>
      </w:tr>
      <w:tr>
        <w:tblPrEx>
          <w:tblCellMar>
            <w:top w:w="0" w:type="dxa"/>
            <w:left w:w="108" w:type="dxa"/>
            <w:bottom w:w="0" w:type="dxa"/>
            <w:right w:w="108" w:type="dxa"/>
          </w:tblCellMar>
        </w:tblPrEx>
        <w:trPr>
          <w:trHeight w:val="552" w:hRule="atLeast"/>
          <w:jc w:val="center"/>
        </w:trPr>
        <w:tc>
          <w:tcPr>
            <w:tcW w:w="23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2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2024年全民健康体检县级补助资金项目</w:t>
            </w:r>
          </w:p>
        </w:tc>
        <w:tc>
          <w:tcPr>
            <w:tcW w:w="171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59"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古丽米热</w:t>
            </w:r>
          </w:p>
        </w:tc>
      </w:tr>
      <w:tr>
        <w:tblPrEx>
          <w:tblCellMar>
            <w:top w:w="0" w:type="dxa"/>
            <w:left w:w="108" w:type="dxa"/>
            <w:bottom w:w="0" w:type="dxa"/>
            <w:right w:w="108" w:type="dxa"/>
          </w:tblCellMar>
        </w:tblPrEx>
        <w:trPr>
          <w:trHeight w:val="802" w:hRule="atLeast"/>
          <w:jc w:val="center"/>
        </w:trPr>
        <w:tc>
          <w:tcPr>
            <w:tcW w:w="23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3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tblPrEx>
          <w:tblCellMar>
            <w:top w:w="0" w:type="dxa"/>
            <w:left w:w="108" w:type="dxa"/>
            <w:bottom w:w="0" w:type="dxa"/>
            <w:right w:w="108" w:type="dxa"/>
          </w:tblCellMar>
        </w:tblPrEx>
        <w:trPr>
          <w:trHeight w:val="1932" w:hRule="atLeast"/>
          <w:jc w:val="center"/>
        </w:trPr>
        <w:tc>
          <w:tcPr>
            <w:tcW w:w="23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9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全面覆盖、免费提供、自愿参检、城乡均等、方便群众”的基本原则，分年度、有重点地对全县15-79岁的居民约3084人进行健康体检，购买体检专用材料2批，保障10名体检工作人员开展工作，全面掌握城乡居民健康状况，通过“早发现、早诊断、早治疗”、“未病先防、小病先治”，切实维护群众健康利益，保障群众健康水平。</w:t>
            </w:r>
          </w:p>
        </w:tc>
      </w:tr>
      <w:tr>
        <w:tblPrEx>
          <w:tblCellMar>
            <w:top w:w="0" w:type="dxa"/>
            <w:left w:w="108" w:type="dxa"/>
            <w:bottom w:w="0" w:type="dxa"/>
            <w:right w:w="108" w:type="dxa"/>
          </w:tblCellMar>
        </w:tblPrEx>
        <w:trPr>
          <w:trHeight w:val="510"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4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3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51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421"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36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体检人员工作人数</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≥10人</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21"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236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购买专用材料批数</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≥2批</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21"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23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15-79岁居民体检人数</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≥3084人</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21"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3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居民体检覆盖率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21"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23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专用材料质量合格率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3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全民健康体检项目按时完成率</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1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42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36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办公业务费支出</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≤3.74万元</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2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23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专用材料费支出</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≤3.2万元</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696"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2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23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体检工作人员补助支出</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≤3.06万元</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10" w:hRule="atLeast"/>
          <w:jc w:val="center"/>
        </w:trPr>
        <w:tc>
          <w:tcPr>
            <w:tcW w:w="9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42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3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提高居民健康保健意识</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明显提高</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10" w:hRule="atLeast"/>
          <w:jc w:val="center"/>
        </w:trPr>
        <w:tc>
          <w:tcPr>
            <w:tcW w:w="96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2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23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提高早期发现疾病、干预疾病和控制疾病的能力</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10"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4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3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受益群众对体检机构的满意度</w:t>
            </w:r>
          </w:p>
        </w:tc>
        <w:tc>
          <w:tcPr>
            <w:tcW w:w="11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3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jc w:val="center"/>
        <w:rPr>
          <w:rFonts w:ascii="宋体" w:hAnsi="宋体"/>
          <w:color w:val="auto"/>
          <w:sz w:val="18"/>
          <w:szCs w:val="18"/>
          <w:highlight w:val="none"/>
        </w:rPr>
      </w:pPr>
    </w:p>
    <w:p>
      <w:pPr>
        <w:widowControl/>
        <w:jc w:val="center"/>
        <w:rPr>
          <w:rFonts w:ascii="宋体" w:hAnsi="宋体"/>
          <w:color w:val="auto"/>
          <w:sz w:val="18"/>
          <w:szCs w:val="18"/>
          <w:highlight w:val="none"/>
        </w:rPr>
      </w:pPr>
      <w:r>
        <w:rPr>
          <w:rFonts w:ascii="宋体" w:hAnsi="宋体"/>
          <w:color w:val="auto"/>
          <w:sz w:val="18"/>
          <w:szCs w:val="18"/>
          <w:highlight w:val="none"/>
        </w:rPr>
        <w:br w:type="page"/>
      </w:r>
    </w:p>
    <w:tbl>
      <w:tblPr>
        <w:tblStyle w:val="5"/>
        <w:tblW w:w="10367" w:type="dxa"/>
        <w:jc w:val="center"/>
        <w:tblLayout w:type="autofit"/>
        <w:tblCellMar>
          <w:top w:w="0" w:type="dxa"/>
          <w:left w:w="108" w:type="dxa"/>
          <w:bottom w:w="0" w:type="dxa"/>
          <w:right w:w="108" w:type="dxa"/>
        </w:tblCellMar>
      </w:tblPr>
      <w:tblGrid>
        <w:gridCol w:w="955"/>
        <w:gridCol w:w="1416"/>
        <w:gridCol w:w="2353"/>
        <w:gridCol w:w="974"/>
        <w:gridCol w:w="1011"/>
        <w:gridCol w:w="863"/>
        <w:gridCol w:w="846"/>
        <w:gridCol w:w="1031"/>
        <w:gridCol w:w="918"/>
      </w:tblGrid>
      <w:tr>
        <w:tblPrEx>
          <w:tblCellMar>
            <w:top w:w="0" w:type="dxa"/>
            <w:left w:w="108" w:type="dxa"/>
            <w:bottom w:w="0" w:type="dxa"/>
            <w:right w:w="108" w:type="dxa"/>
          </w:tblCellMar>
        </w:tblPrEx>
        <w:trPr>
          <w:trHeight w:val="655" w:hRule="atLeast"/>
          <w:jc w:val="center"/>
        </w:trPr>
        <w:tc>
          <w:tcPr>
            <w:tcW w:w="10367"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70" w:hRule="atLeast"/>
          <w:jc w:val="center"/>
        </w:trPr>
        <w:tc>
          <w:tcPr>
            <w:tcW w:w="10367"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trPr>
          <w:trHeight w:val="517"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99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托克逊县阿乐惠镇卫生院</w:t>
            </w:r>
          </w:p>
        </w:tc>
      </w:tr>
      <w:tr>
        <w:tblPrEx>
          <w:tblCellMar>
            <w:top w:w="0" w:type="dxa"/>
            <w:left w:w="108" w:type="dxa"/>
            <w:bottom w:w="0" w:type="dxa"/>
            <w:right w:w="108" w:type="dxa"/>
          </w:tblCellMar>
        </w:tblPrEx>
        <w:trPr>
          <w:trHeight w:val="578"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338"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2024年县级基本药物制度补助资金(县级配套)</w:t>
            </w:r>
          </w:p>
        </w:tc>
        <w:tc>
          <w:tcPr>
            <w:tcW w:w="170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49"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古丽米热</w:t>
            </w:r>
          </w:p>
        </w:tc>
      </w:tr>
      <w:tr>
        <w:tblPrEx>
          <w:tblCellMar>
            <w:top w:w="0" w:type="dxa"/>
            <w:left w:w="108" w:type="dxa"/>
            <w:bottom w:w="0" w:type="dxa"/>
            <w:right w:w="108" w:type="dxa"/>
          </w:tblCellMar>
        </w:tblPrEx>
        <w:trPr>
          <w:trHeight w:val="840"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9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w:t>
            </w:r>
          </w:p>
        </w:tc>
        <w:tc>
          <w:tcPr>
            <w:tcW w:w="8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tblPrEx>
          <w:tblCellMar>
            <w:top w:w="0" w:type="dxa"/>
            <w:left w:w="108" w:type="dxa"/>
            <w:bottom w:w="0" w:type="dxa"/>
            <w:right w:w="108" w:type="dxa"/>
          </w:tblCellMar>
        </w:tblPrEx>
        <w:trPr>
          <w:trHeight w:val="1396"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996"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保证托克逊县阿乐惠镇卫生院100%实施国家基本药物制度，通过采购2批次基本药品，确保基本药物品种达到110种，达到减轻患者医疗负担，规范药品供应，满足人民群众基本医疗用药需求的目标。</w:t>
            </w:r>
          </w:p>
        </w:tc>
      </w:tr>
      <w:tr>
        <w:tblPrEx>
          <w:tblCellMar>
            <w:top w:w="0" w:type="dxa"/>
            <w:left w:w="108" w:type="dxa"/>
            <w:bottom w:w="0" w:type="dxa"/>
            <w:right w:w="108" w:type="dxa"/>
          </w:tblCellMar>
        </w:tblPrEx>
        <w:trPr>
          <w:trHeight w:val="534" w:hRule="atLeast"/>
          <w:jc w:val="center"/>
        </w:trPr>
        <w:tc>
          <w:tcPr>
            <w:tcW w:w="95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4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9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534" w:hRule="atLeast"/>
          <w:jc w:val="center"/>
        </w:trPr>
        <w:tc>
          <w:tcPr>
            <w:tcW w:w="95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416"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镇卫生院基本药物供应品种</w:t>
            </w:r>
          </w:p>
        </w:tc>
        <w:tc>
          <w:tcPr>
            <w:tcW w:w="9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≥110种</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34"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16"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2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采购基本药品批次</w:t>
            </w:r>
          </w:p>
        </w:tc>
        <w:tc>
          <w:tcPr>
            <w:tcW w:w="9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=2批次</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34"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16"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实施国家基本药物制度率</w:t>
            </w:r>
          </w:p>
        </w:tc>
        <w:tc>
          <w:tcPr>
            <w:tcW w:w="9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34"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16"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2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国家基本药物占药品种类的比例</w:t>
            </w:r>
          </w:p>
        </w:tc>
        <w:tc>
          <w:tcPr>
            <w:tcW w:w="9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rPr>
          <w:trHeight w:val="534" w:hRule="atLeast"/>
          <w:jc w:val="center"/>
        </w:trPr>
        <w:tc>
          <w:tcPr>
            <w:tcW w:w="955"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p>
        </w:tc>
        <w:tc>
          <w:tcPr>
            <w:tcW w:w="14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基本药品采购完成及时率</w:t>
            </w:r>
          </w:p>
        </w:tc>
        <w:tc>
          <w:tcPr>
            <w:tcW w:w="9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34" w:hRule="atLeast"/>
          <w:jc w:val="center"/>
        </w:trPr>
        <w:tc>
          <w:tcPr>
            <w:tcW w:w="955"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41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采购基本药品支出</w:t>
            </w:r>
          </w:p>
        </w:tc>
        <w:tc>
          <w:tcPr>
            <w:tcW w:w="9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≤2万元</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534" w:hRule="atLeast"/>
          <w:jc w:val="center"/>
        </w:trPr>
        <w:tc>
          <w:tcPr>
            <w:tcW w:w="955"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416"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经济效益指标</w:t>
            </w:r>
          </w:p>
        </w:tc>
        <w:tc>
          <w:tcPr>
            <w:tcW w:w="2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减轻患者医疗负担</w:t>
            </w:r>
          </w:p>
        </w:tc>
        <w:tc>
          <w:tcPr>
            <w:tcW w:w="9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534" w:hRule="atLeast"/>
          <w:jc w:val="center"/>
        </w:trPr>
        <w:tc>
          <w:tcPr>
            <w:tcW w:w="955"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highlight w:val="none"/>
              </w:rPr>
            </w:pPr>
          </w:p>
        </w:tc>
        <w:tc>
          <w:tcPr>
            <w:tcW w:w="1416"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提高基本药物制度政策知晓率</w:t>
            </w:r>
          </w:p>
        </w:tc>
        <w:tc>
          <w:tcPr>
            <w:tcW w:w="9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6" w:hRule="atLeast"/>
          <w:jc w:val="center"/>
        </w:trPr>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4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3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群众对基本药物制度实施情况满意度</w:t>
            </w:r>
          </w:p>
        </w:tc>
        <w:tc>
          <w:tcPr>
            <w:tcW w:w="97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jc w:val="center"/>
        <w:rPr>
          <w:rFonts w:ascii="宋体" w:hAnsi="宋体"/>
          <w:color w:val="auto"/>
          <w:sz w:val="18"/>
          <w:szCs w:val="18"/>
          <w:highlight w:val="none"/>
        </w:rPr>
      </w:pPr>
    </w:p>
    <w:p>
      <w:pPr>
        <w:widowControl/>
        <w:spacing w:line="560" w:lineRule="exact"/>
        <w:ind w:firstLine="630" w:firstLineChars="196"/>
        <w:jc w:val="left"/>
        <w:rPr>
          <w:rFonts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tbl>
      <w:tblPr>
        <w:tblStyle w:val="5"/>
        <w:tblW w:w="10580" w:type="dxa"/>
        <w:jc w:val="center"/>
        <w:tblLayout w:type="autofit"/>
        <w:tblCellMar>
          <w:top w:w="0" w:type="dxa"/>
          <w:left w:w="108" w:type="dxa"/>
          <w:bottom w:w="0" w:type="dxa"/>
          <w:right w:w="108" w:type="dxa"/>
        </w:tblCellMar>
      </w:tblPr>
      <w:tblGrid>
        <w:gridCol w:w="1000"/>
        <w:gridCol w:w="1120"/>
        <w:gridCol w:w="1880"/>
        <w:gridCol w:w="1200"/>
        <w:gridCol w:w="1120"/>
        <w:gridCol w:w="840"/>
        <w:gridCol w:w="840"/>
        <w:gridCol w:w="1080"/>
        <w:gridCol w:w="1500"/>
      </w:tblGrid>
      <w:tr>
        <w:tblPrEx>
          <w:tblCellMar>
            <w:top w:w="0" w:type="dxa"/>
            <w:left w:w="108" w:type="dxa"/>
            <w:bottom w:w="0" w:type="dxa"/>
            <w:right w:w="108" w:type="dxa"/>
          </w:tblCellMar>
        </w:tblPrEx>
        <w:trPr>
          <w:trHeight w:val="420" w:hRule="atLeast"/>
          <w:jc w:val="center"/>
        </w:trPr>
        <w:tc>
          <w:tcPr>
            <w:tcW w:w="1058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tblPrEx>
          <w:tblCellMar>
            <w:top w:w="0" w:type="dxa"/>
            <w:left w:w="108" w:type="dxa"/>
            <w:bottom w:w="0" w:type="dxa"/>
            <w:right w:w="108" w:type="dxa"/>
          </w:tblCellMar>
        </w:tblPrEx>
        <w:trPr>
          <w:trHeight w:val="300" w:hRule="atLeast"/>
          <w:jc w:val="center"/>
        </w:trPr>
        <w:tc>
          <w:tcPr>
            <w:tcW w:w="1058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tblPrEx>
          <w:tblCellMar>
            <w:top w:w="0" w:type="dxa"/>
            <w:left w:w="108" w:type="dxa"/>
            <w:bottom w:w="0" w:type="dxa"/>
            <w:right w:w="108" w:type="dxa"/>
          </w:tblCellMar>
        </w:tblPrEx>
        <w:trPr>
          <w:trHeight w:val="472"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460"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托克逊县阿乐惠镇卫生院</w:t>
            </w:r>
          </w:p>
        </w:tc>
      </w:tr>
      <w:tr>
        <w:tblPrEx>
          <w:tblCellMar>
            <w:top w:w="0" w:type="dxa"/>
            <w:left w:w="108" w:type="dxa"/>
            <w:bottom w:w="0" w:type="dxa"/>
            <w:right w:w="108" w:type="dxa"/>
          </w:tblCellMar>
        </w:tblPrEx>
        <w:trPr>
          <w:trHeight w:val="563"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504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2024年单位实有资金</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500" w:type="dxa"/>
            <w:tcBorders>
              <w:top w:val="nil"/>
              <w:left w:val="nil"/>
              <w:bottom w:val="single" w:color="auto" w:sz="4" w:space="0"/>
              <w:right w:val="single" w:color="auto" w:sz="4" w:space="0"/>
            </w:tcBorders>
            <w:shd w:val="clear" w:color="auto" w:fill="auto"/>
            <w:noWrap/>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古丽米热</w:t>
            </w:r>
          </w:p>
        </w:tc>
      </w:tr>
      <w:tr>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135.59</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135.59</w:t>
            </w:r>
          </w:p>
        </w:tc>
      </w:tr>
      <w:tr>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460" w:type="dxa"/>
            <w:gridSpan w:val="7"/>
            <w:tcBorders>
              <w:top w:val="single" w:color="auto" w:sz="4" w:space="0"/>
              <w:left w:val="nil"/>
              <w:bottom w:val="single" w:color="auto" w:sz="4" w:space="0"/>
              <w:right w:val="single" w:color="000000" w:sz="4" w:space="0"/>
            </w:tcBorders>
            <w:shd w:val="clear" w:color="auto" w:fill="auto"/>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目标1：通过单位自有资金按时发放10名临聘人员工资，提高员工工作积极性。</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目标2：根据实际情况及时采购药品、医疗耗材、检测试剂3大类专用材料，保障医护人员服务质量，满足患者需求。</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目标3：全年门诊接待不少于7372人次，实行基本药物制度的药品不少于120种，确保我我镇居民提供优质的医疗服务，减轻患者病痛，改善居民健康状况。</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目标4：购置不少于6台先进专用设备，提高患者诊断准确率。</w:t>
            </w:r>
          </w:p>
        </w:tc>
      </w:tr>
      <w:tr>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专用材料采购大类</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&gt;=3种</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临聘人员工作人数</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&gt;=10人</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实行基本药物制度的药品种类</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&gt;=120种</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全年门诊接待人次</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&gt;=7372人次</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购置专用设备数量</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&gt;=6台</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设备验收合格率</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医疗服务收入（不含药品、耗材、检查、检验收入）占医疗收入占比</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&gt;=30%</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专用材料采购及时率</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综合办公费支出</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&lt;=52.50万元</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专用设备支出</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&lt;=30万元</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专用材料费支出</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&lt;=43.09万元</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劳务费支出</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&lt;=10万元</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经济效益指标</w:t>
            </w: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保障基层医疗服务，改善居民健康状况</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有效保障</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提高患者诊断准确率</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进一步提高</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880"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患者对服务满意度</w:t>
            </w:r>
          </w:p>
        </w:tc>
        <w:tc>
          <w:tcPr>
            <w:tcW w:w="12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&gt;=90%</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50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widowControl/>
        <w:spacing w:line="520" w:lineRule="exact"/>
        <w:ind w:firstLine="630" w:firstLineChars="196"/>
        <w:jc w:val="left"/>
        <w:rPr>
          <w:rFonts w:ascii="楷体_GB2312" w:hAnsi="楷体_GB2312" w:eastAsia="楷体_GB2312" w:cs="楷体_GB2312"/>
          <w:b/>
          <w:color w:val="auto"/>
          <w:kern w:val="0"/>
          <w:sz w:val="32"/>
          <w:szCs w:val="32"/>
          <w:highlight w:val="none"/>
        </w:rPr>
      </w:pPr>
      <w:r>
        <w:rPr>
          <w:rFonts w:ascii="楷体_GB2312" w:hAnsi="楷体_GB2312" w:eastAsia="楷体_GB2312" w:cs="宋体"/>
          <w:b/>
          <w:color w:val="auto"/>
          <w:kern w:val="0"/>
          <w:sz w:val="32"/>
          <w:szCs w:val="32"/>
          <w:highlight w:val="none"/>
        </w:rPr>
        <w:br w:type="page"/>
      </w:r>
      <w:r>
        <w:rPr>
          <w:rFonts w:hint="eastAsia" w:ascii="楷体_GB2312" w:hAnsi="楷体_GB2312" w:eastAsia="楷体_GB2312" w:cs="宋体"/>
          <w:b/>
          <w:color w:val="auto"/>
          <w:kern w:val="0"/>
          <w:sz w:val="32"/>
          <w:szCs w:val="32"/>
          <w:highlight w:val="none"/>
        </w:rPr>
        <w:t>（五）其他需说明的事项</w:t>
      </w:r>
    </w:p>
    <w:p>
      <w:pPr>
        <w:widowControl/>
        <w:spacing w:line="52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2024年我单位未安排面向中小企业预留政府采购项目预算；未安排小微企业预留政府采购项目预算。</w:t>
      </w:r>
    </w:p>
    <w:p>
      <w:pPr>
        <w:widowControl/>
        <w:spacing w:line="520" w:lineRule="exact"/>
        <w:ind w:firstLine="640" w:firstLineChars="200"/>
        <w:jc w:val="left"/>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w:t>
      </w:r>
      <w:bookmarkStart w:id="0" w:name="_Hlk169204404"/>
      <w:r>
        <w:rPr>
          <w:rFonts w:hint="eastAsia" w:ascii="仿宋_GB2312" w:hAnsi="黑体" w:eastAsia="仿宋_GB2312" w:cs="Times New Roman"/>
          <w:color w:val="auto"/>
          <w:sz w:val="32"/>
          <w:szCs w:val="32"/>
          <w:highlight w:val="none"/>
          <w14:ligatures w14:val="none"/>
        </w:rPr>
        <w:t>本次未公开项目支出绩效目标表共有</w:t>
      </w:r>
      <w:r>
        <w:rPr>
          <w:rFonts w:hint="eastAsia" w:ascii="仿宋_GB2312" w:hAnsi="黑体" w:eastAsia="仿宋_GB2312" w:cs="Times New Roman"/>
          <w:color w:val="auto"/>
          <w:sz w:val="32"/>
          <w:szCs w:val="32"/>
          <w:highlight w:val="none"/>
          <w:lang w:val="en-US" w:eastAsia="zh-CN"/>
          <w14:ligatures w14:val="none"/>
        </w:rPr>
        <w:t>2</w:t>
      </w:r>
      <w:r>
        <w:rPr>
          <w:rFonts w:hint="eastAsia" w:ascii="仿宋_GB2312" w:hAnsi="黑体" w:eastAsia="仿宋_GB2312" w:cs="Times New Roman"/>
          <w:color w:val="auto"/>
          <w:sz w:val="32"/>
          <w:szCs w:val="32"/>
          <w:highlight w:val="none"/>
          <w14:ligatures w14:val="none"/>
        </w:rPr>
        <w:t>个，其中：上级转移支付项目</w:t>
      </w:r>
      <w:r>
        <w:rPr>
          <w:rFonts w:hint="eastAsia" w:ascii="仿宋_GB2312" w:hAnsi="黑体" w:eastAsia="仿宋_GB2312" w:cs="Times New Roman"/>
          <w:color w:val="auto"/>
          <w:sz w:val="32"/>
          <w:szCs w:val="32"/>
          <w:highlight w:val="none"/>
          <w:lang w:val="en-US" w:eastAsia="zh-CN"/>
          <w14:ligatures w14:val="none"/>
        </w:rPr>
        <w:t>2</w:t>
      </w:r>
      <w:r>
        <w:rPr>
          <w:rFonts w:hint="eastAsia" w:ascii="仿宋_GB2312" w:hAnsi="黑体" w:eastAsia="仿宋_GB2312" w:cs="Times New Roman"/>
          <w:color w:val="auto"/>
          <w:sz w:val="32"/>
          <w:szCs w:val="32"/>
          <w:highlight w:val="none"/>
          <w14:ligatures w14:val="none"/>
        </w:rPr>
        <w:t>个，涉及预算金额</w:t>
      </w:r>
      <w:r>
        <w:rPr>
          <w:rFonts w:hint="eastAsia" w:ascii="仿宋_GB2312" w:hAnsi="黑体" w:eastAsia="仿宋_GB2312" w:cs="Times New Roman"/>
          <w:color w:val="auto"/>
          <w:sz w:val="32"/>
          <w:szCs w:val="32"/>
          <w:highlight w:val="none"/>
          <w:lang w:val="en-US" w:eastAsia="zh-CN"/>
          <w14:ligatures w14:val="none"/>
        </w:rPr>
        <w:t>3.20</w:t>
      </w:r>
      <w:r>
        <w:rPr>
          <w:rFonts w:hint="eastAsia" w:ascii="仿宋_GB2312" w:hAnsi="黑体" w:eastAsia="仿宋_GB2312" w:cs="Times New Roman"/>
          <w:color w:val="auto"/>
          <w:sz w:val="32"/>
          <w:szCs w:val="32"/>
          <w:highlight w:val="none"/>
          <w14:ligatures w14:val="none"/>
        </w:rPr>
        <w:t>万元、绩效目标表完全不予公开。</w:t>
      </w:r>
      <w:bookmarkEnd w:id="0"/>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第四部分名词解释</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color w:val="auto"/>
          <w:kern w:val="0"/>
          <w:sz w:val="32"/>
          <w:szCs w:val="32"/>
          <w:highlight w:val="none"/>
        </w:rPr>
      </w:pPr>
    </w:p>
    <w:p>
      <w:pPr>
        <w:widowControl/>
        <w:spacing w:line="520" w:lineRule="exact"/>
        <w:jc w:val="left"/>
        <w:rPr>
          <w:rFonts w:ascii="仿宋_GB2312" w:hAnsi="宋体" w:eastAsia="仿宋_GB2312" w:cs="宋体"/>
          <w:color w:val="auto"/>
          <w:kern w:val="0"/>
          <w:sz w:val="32"/>
          <w:szCs w:val="32"/>
          <w:highlight w:val="none"/>
        </w:rPr>
      </w:pPr>
    </w:p>
    <w:p>
      <w:pPr>
        <w:widowControl/>
        <w:spacing w:line="520" w:lineRule="exact"/>
        <w:jc w:val="left"/>
        <w:rPr>
          <w:rFonts w:ascii="仿宋_GB2312" w:hAnsi="宋体" w:eastAsia="仿宋_GB2312" w:cs="宋体"/>
          <w:color w:val="auto"/>
          <w:kern w:val="0"/>
          <w:sz w:val="32"/>
          <w:szCs w:val="32"/>
          <w:highlight w:val="none"/>
        </w:rPr>
      </w:pPr>
    </w:p>
    <w:p>
      <w:pPr>
        <w:widowControl/>
        <w:spacing w:line="520" w:lineRule="exact"/>
        <w:jc w:val="righ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托克逊县阿乐惠镇卫生院</w:t>
      </w:r>
    </w:p>
    <w:p>
      <w:pPr>
        <w:widowControl/>
        <w:spacing w:line="520" w:lineRule="exact"/>
        <w:jc w:val="right"/>
        <w:rPr>
          <w:rFonts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5747E"/>
    <w:rsid w:val="00064618"/>
    <w:rsid w:val="001B6D0D"/>
    <w:rsid w:val="00225CD0"/>
    <w:rsid w:val="00233590"/>
    <w:rsid w:val="002E19AF"/>
    <w:rsid w:val="003026B9"/>
    <w:rsid w:val="00304C30"/>
    <w:rsid w:val="0033207D"/>
    <w:rsid w:val="004D1740"/>
    <w:rsid w:val="00557BA0"/>
    <w:rsid w:val="00786BC8"/>
    <w:rsid w:val="0079244E"/>
    <w:rsid w:val="0085262E"/>
    <w:rsid w:val="00987559"/>
    <w:rsid w:val="00A836C6"/>
    <w:rsid w:val="00AC3717"/>
    <w:rsid w:val="00CA590E"/>
    <w:rsid w:val="00CD42BC"/>
    <w:rsid w:val="00D73FB7"/>
    <w:rsid w:val="00EB12A7"/>
    <w:rsid w:val="0E4B014D"/>
    <w:rsid w:val="14931FEA"/>
    <w:rsid w:val="22CF5689"/>
    <w:rsid w:val="235468CA"/>
    <w:rsid w:val="34E7657F"/>
    <w:rsid w:val="39E55459"/>
    <w:rsid w:val="3D9803AD"/>
    <w:rsid w:val="3DDC7F8B"/>
    <w:rsid w:val="50C8298F"/>
    <w:rsid w:val="595D5C67"/>
    <w:rsid w:val="6E5D2D60"/>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4">
    <w:name w:val="header"/>
    <w:basedOn w:val="1"/>
    <w:link w:val="7"/>
    <w:qFormat/>
    <w:uiPriority w:val="0"/>
    <w:pPr>
      <w:tabs>
        <w:tab w:val="center" w:pos="4153"/>
        <w:tab w:val="right" w:pos="8306"/>
      </w:tabs>
      <w:snapToGrid w:val="0"/>
      <w:jc w:val="center"/>
    </w:pPr>
    <w:rPr>
      <w:sz w:val="18"/>
      <w:szCs w:val="18"/>
    </w:rPr>
  </w:style>
  <w:style w:type="character" w:customStyle="1" w:styleId="7">
    <w:name w:val="页眉 字符"/>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1639</Words>
  <Characters>1825</Characters>
  <Lines>128</Lines>
  <Paragraphs>36</Paragraphs>
  <TotalTime>16</TotalTime>
  <ScaleCrop>false</ScaleCrop>
  <LinksUpToDate>false</LinksUpToDate>
  <CharactersWithSpaces>1877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2025-08-12T05:03:40Z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6425546A37274E159CCC09E55135FBB9_13</vt:lpwstr>
  </property>
  <property fmtid="{D5CDD505-2E9C-101B-9397-08002B2CF9AE}" pid="4" name="KSOTemplateDocerSaveRecord">
    <vt:lpwstr>eyJoZGlkIjoiMTcwMGY5N2M4YzI3ODdkZTMzOGFhZTcwMTk4MTdlMjAiLCJ1c2VySWQiOiI0OTQ1NzM3OTEifQ==</vt:lpwstr>
  </property>
</Properties>
</file>